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97242"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ו</w:t>
            </w:r>
            <w:r w:rsidR="0094424E" w:rsidRPr="008A59EE">
              <w:rPr>
                <w:rFonts w:ascii="Arial" w:hAnsi="Arial" w:hint="cs"/>
                <w:b/>
                <w:bCs/>
                <w:sz w:val="26"/>
                <w:szCs w:val="26"/>
                <w:rtl/>
              </w:rPr>
              <w:t>ב</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234CCD" w:rsidTr="00465D36">
        <w:trPr>
          <w:jc w:val="center"/>
        </w:trPr>
        <w:tc>
          <w:tcPr>
            <w:tcW w:w="3249" w:type="dxa"/>
            <w:gridSpan w:val="2"/>
          </w:tcPr>
          <w:p w:rsidR="00234CCD" w:rsidRDefault="00234CCD" w:rsidP="00234CCD">
            <w:pPr>
              <w:suppressLineNumbers/>
            </w:pPr>
          </w:p>
          <w:sdt>
            <w:sdtPr>
              <w:rPr>
                <w:rtl/>
              </w:rPr>
              <w:alias w:val="1180"/>
              <w:tag w:val="1180"/>
              <w:id w:val="401253828"/>
              <w:text w:multiLine="1"/>
            </w:sdtPr>
            <w:sdtEndPr/>
            <w:sdtContent>
              <w:p w:rsidR="00234CCD" w:rsidRDefault="00234CCD" w:rsidP="00234CCD">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234CCD" w:rsidRDefault="00234CCD" w:rsidP="00234CCD">
            <w:pPr>
              <w:suppressLineNumbers/>
              <w:rPr>
                <w:rtl/>
              </w:rPr>
            </w:pPr>
          </w:p>
          <w:p w:rsidR="00234CCD" w:rsidRDefault="008F770C" w:rsidP="002931DA">
            <w:pPr>
              <w:suppressLineNumbers/>
              <w:spacing w:after="240" w:line="360" w:lineRule="auto"/>
              <w:rPr>
                <w:b/>
                <w:bCs/>
                <w:noProof w:val="0"/>
                <w:sz w:val="26"/>
                <w:szCs w:val="26"/>
                <w:rtl/>
              </w:rPr>
            </w:pPr>
            <w:sdt>
              <w:sdtPr>
                <w:rPr>
                  <w:rFonts w:ascii="Arial" w:hAnsi="Arial"/>
                  <w:b/>
                  <w:bCs/>
                  <w:noProof w:val="0"/>
                  <w:sz w:val="26"/>
                  <w:szCs w:val="26"/>
                  <w:rtl/>
                </w:rPr>
                <w:alias w:val="3151"/>
                <w:tag w:val="3151"/>
                <w:id w:val="-1133097465"/>
                <w:placeholder>
                  <w:docPart w:val="05A64B6F7E274087B02E0A2473012691"/>
                </w:placeholder>
                <w:text w:multiLine="1"/>
              </w:sdtPr>
              <w:sdtEndPr/>
              <w:sdtContent>
                <w:r w:rsidR="002931DA">
                  <w:rPr>
                    <w:rFonts w:ascii="Arial" w:hAnsi="Arial"/>
                    <w:b/>
                    <w:bCs/>
                    <w:noProof w:val="0"/>
                    <w:sz w:val="26"/>
                    <w:szCs w:val="26"/>
                    <w:rtl/>
                  </w:rPr>
                  <w:t>ר</w:t>
                </w:r>
                <w:r w:rsidR="002931DA">
                  <w:rPr>
                    <w:rFonts w:ascii="Arial" w:hAnsi="Arial" w:hint="cs"/>
                    <w:b/>
                    <w:bCs/>
                    <w:noProof w:val="0"/>
                    <w:sz w:val="26"/>
                    <w:szCs w:val="26"/>
                    <w:rtl/>
                  </w:rPr>
                  <w:t>. ס</w:t>
                </w:r>
              </w:sdtContent>
            </w:sdt>
          </w:p>
        </w:tc>
      </w:tr>
      <w:tr w:rsidR="00234CCD">
        <w:trPr>
          <w:jc w:val="center"/>
        </w:trPr>
        <w:tc>
          <w:tcPr>
            <w:tcW w:w="8820" w:type="dxa"/>
            <w:gridSpan w:val="3"/>
          </w:tcPr>
          <w:p w:rsidR="00234CCD" w:rsidRDefault="00234CCD" w:rsidP="00B9319F">
            <w:pPr>
              <w:suppressLineNumbers/>
              <w:spacing w:after="120"/>
              <w:jc w:val="center"/>
              <w:rPr>
                <w:rFonts w:ascii="Arial" w:hAnsi="Arial"/>
                <w:b/>
                <w:bCs/>
                <w:noProof w:val="0"/>
                <w:sz w:val="26"/>
                <w:szCs w:val="26"/>
                <w:rtl/>
              </w:rPr>
            </w:pPr>
            <w:r>
              <w:rPr>
                <w:rFonts w:ascii="Arial" w:hAnsi="Arial"/>
                <w:b/>
                <w:bCs/>
                <w:noProof w:val="0"/>
                <w:sz w:val="26"/>
                <w:szCs w:val="26"/>
                <w:rtl/>
              </w:rPr>
              <w:t>נגד</w:t>
            </w:r>
          </w:p>
          <w:p w:rsidR="00234CCD" w:rsidRDefault="00234CCD" w:rsidP="00234CCD">
            <w:pPr>
              <w:suppressLineNumbers/>
              <w:rPr>
                <w:rFonts w:ascii="Arial" w:hAnsi="Arial"/>
                <w:b/>
                <w:bCs/>
                <w:noProof w:val="0"/>
                <w:sz w:val="26"/>
                <w:szCs w:val="26"/>
                <w:rtl/>
              </w:rPr>
            </w:pPr>
          </w:p>
        </w:tc>
      </w:tr>
      <w:tr w:rsidR="00234CCD">
        <w:trPr>
          <w:jc w:val="center"/>
        </w:trPr>
        <w:tc>
          <w:tcPr>
            <w:tcW w:w="3249" w:type="dxa"/>
            <w:gridSpan w:val="2"/>
          </w:tcPr>
          <w:p w:rsidR="00234CCD" w:rsidRDefault="008F770C" w:rsidP="00234CCD">
            <w:pPr>
              <w:suppressLineNumbers/>
              <w:spacing w:after="120"/>
              <w:rPr>
                <w:rFonts w:ascii="Arial" w:hAnsi="Arial"/>
                <w:b/>
                <w:bCs/>
                <w:noProof w:val="0"/>
                <w:sz w:val="26"/>
                <w:szCs w:val="26"/>
              </w:rPr>
            </w:pPr>
            <w:sdt>
              <w:sdtPr>
                <w:rPr>
                  <w:b/>
                  <w:bCs/>
                  <w:sz w:val="26"/>
                  <w:szCs w:val="26"/>
                  <w:rtl/>
                </w:rPr>
                <w:alias w:val="1184"/>
                <w:tag w:val="1184"/>
                <w:id w:val="-1431974323"/>
                <w:text w:multiLine="1"/>
              </w:sdtPr>
              <w:sdtEndPr/>
              <w:sdtContent>
                <w:r w:rsidR="00234CCD">
                  <w:rPr>
                    <w:rFonts w:ascii="Arial" w:hAnsi="Arial"/>
                    <w:b/>
                    <w:bCs/>
                    <w:noProof w:val="0"/>
                    <w:sz w:val="26"/>
                    <w:szCs w:val="26"/>
                    <w:rtl/>
                  </w:rPr>
                  <w:t>משיבה</w:t>
                </w:r>
                <w:r w:rsidR="00234CCD">
                  <w:rPr>
                    <w:rFonts w:ascii="Arial" w:hAnsi="Arial"/>
                    <w:b/>
                    <w:bCs/>
                    <w:noProof w:val="0"/>
                    <w:sz w:val="26"/>
                    <w:szCs w:val="26"/>
                    <w:rtl/>
                  </w:rPr>
                  <w:br/>
                </w:r>
                <w:r w:rsidR="00234CCD">
                  <w:rPr>
                    <w:b/>
                    <w:bCs/>
                    <w:sz w:val="26"/>
                    <w:szCs w:val="26"/>
                    <w:rtl/>
                  </w:rPr>
                  <w:br/>
                </w:r>
                <w:r w:rsidR="00234CCD">
                  <w:rPr>
                    <w:b/>
                    <w:bCs/>
                    <w:sz w:val="26"/>
                    <w:szCs w:val="26"/>
                    <w:rtl/>
                  </w:rPr>
                  <w:br/>
                </w:r>
                <w:r w:rsidR="00234CCD">
                  <w:rPr>
                    <w:b/>
                    <w:bCs/>
                    <w:sz w:val="26"/>
                    <w:szCs w:val="26"/>
                    <w:rtl/>
                  </w:rPr>
                  <w:br/>
                </w:r>
                <w:r w:rsidR="00234CCD">
                  <w:rPr>
                    <w:b/>
                    <w:bCs/>
                    <w:sz w:val="26"/>
                    <w:szCs w:val="26"/>
                    <w:rtl/>
                  </w:rPr>
                  <w:br/>
                  <w:t>בעניין הקטינות</w:t>
                </w:r>
              </w:sdtContent>
            </w:sdt>
          </w:p>
        </w:tc>
        <w:tc>
          <w:tcPr>
            <w:tcW w:w="5571" w:type="dxa"/>
          </w:tcPr>
          <w:p w:rsidR="00234CCD" w:rsidRDefault="008F770C" w:rsidP="002931DA">
            <w:pPr>
              <w:suppressLineNumbers/>
              <w:spacing w:after="120" w:line="360" w:lineRule="auto"/>
              <w:rPr>
                <w:rFonts w:ascii="Arial" w:hAnsi="Arial"/>
                <w:b/>
                <w:bCs/>
                <w:noProof w:val="0"/>
                <w:sz w:val="26"/>
                <w:szCs w:val="26"/>
              </w:rPr>
            </w:pPr>
            <w:sdt>
              <w:sdtPr>
                <w:rPr>
                  <w:rFonts w:ascii="Arial" w:hAnsi="Arial"/>
                  <w:b/>
                  <w:bCs/>
                  <w:noProof w:val="0"/>
                  <w:sz w:val="26"/>
                  <w:szCs w:val="26"/>
                  <w:rtl/>
                </w:rPr>
                <w:alias w:val="3152"/>
                <w:tag w:val="3152"/>
                <w:id w:val="-1250802515"/>
                <w:placeholder>
                  <w:docPart w:val="0655F9C6BBB14A69B884B2C6CE91F626"/>
                </w:placeholder>
                <w:text w:multiLine="1"/>
              </w:sdtPr>
              <w:sdtEndPr/>
              <w:sdtContent>
                <w:r w:rsidR="002931DA">
                  <w:rPr>
                    <w:rFonts w:ascii="Arial" w:hAnsi="Arial" w:hint="cs"/>
                    <w:b/>
                    <w:bCs/>
                    <w:noProof w:val="0"/>
                    <w:sz w:val="26"/>
                    <w:szCs w:val="26"/>
                    <w:rtl/>
                  </w:rPr>
                  <w:t>ש. ח. ס</w:t>
                </w:r>
                <w:r w:rsidR="002931DA">
                  <w:rPr>
                    <w:rFonts w:ascii="Arial" w:hAnsi="Arial"/>
                    <w:b/>
                    <w:bCs/>
                    <w:noProof w:val="0"/>
                    <w:sz w:val="26"/>
                    <w:szCs w:val="26"/>
                    <w:rtl/>
                  </w:rPr>
                  <w:br/>
                </w:r>
                <w:r w:rsidR="002931DA">
                  <w:rPr>
                    <w:rFonts w:ascii="Arial" w:hAnsi="Arial"/>
                    <w:b/>
                    <w:bCs/>
                    <w:noProof w:val="0"/>
                    <w:sz w:val="26"/>
                    <w:szCs w:val="26"/>
                    <w:rtl/>
                  </w:rPr>
                  <w:br/>
                </w:r>
                <w:r w:rsidR="002931DA">
                  <w:rPr>
                    <w:rFonts w:ascii="Arial" w:hAnsi="Arial"/>
                    <w:b/>
                    <w:bCs/>
                    <w:noProof w:val="0"/>
                    <w:sz w:val="26"/>
                    <w:szCs w:val="26"/>
                    <w:rtl/>
                  </w:rPr>
                  <w:br/>
                </w:r>
                <w:r w:rsidR="002931DA">
                  <w:rPr>
                    <w:rFonts w:ascii="Arial" w:hAnsi="Arial" w:hint="cs"/>
                    <w:b/>
                    <w:bCs/>
                    <w:noProof w:val="0"/>
                    <w:sz w:val="26"/>
                    <w:szCs w:val="26"/>
                    <w:rtl/>
                  </w:rPr>
                  <w:t xml:space="preserve">קטינה, </w:t>
                </w:r>
                <w:r w:rsidR="002931DA">
                  <w:rPr>
                    <w:rFonts w:ascii="Arial" w:hAnsi="Arial"/>
                    <w:b/>
                    <w:bCs/>
                    <w:noProof w:val="0"/>
                    <w:sz w:val="26"/>
                    <w:szCs w:val="26"/>
                    <w:rtl/>
                  </w:rPr>
                  <w:t>ילידת 2009</w:t>
                </w:r>
                <w:r w:rsidR="002931DA">
                  <w:rPr>
                    <w:rFonts w:ascii="Arial" w:hAnsi="Arial"/>
                    <w:b/>
                    <w:bCs/>
                    <w:noProof w:val="0"/>
                    <w:sz w:val="26"/>
                    <w:szCs w:val="26"/>
                    <w:rtl/>
                  </w:rPr>
                  <w:br/>
                </w:r>
                <w:r w:rsidR="002931DA">
                  <w:rPr>
                    <w:rFonts w:ascii="Arial" w:hAnsi="Arial" w:hint="cs"/>
                    <w:b/>
                    <w:bCs/>
                    <w:noProof w:val="0"/>
                    <w:sz w:val="26"/>
                    <w:szCs w:val="26"/>
                    <w:rtl/>
                  </w:rPr>
                  <w:t>קטינה,</w:t>
                </w:r>
                <w:r w:rsidR="00234CCD">
                  <w:rPr>
                    <w:rFonts w:ascii="Arial" w:hAnsi="Arial"/>
                    <w:b/>
                    <w:bCs/>
                    <w:noProof w:val="0"/>
                    <w:sz w:val="26"/>
                    <w:szCs w:val="26"/>
                    <w:rtl/>
                  </w:rPr>
                  <w:t xml:space="preserve"> ילידת 2011</w:t>
                </w:r>
              </w:sdtContent>
            </w:sdt>
          </w:p>
        </w:tc>
      </w:tr>
    </w:tbl>
    <w:p w:rsidR="0094424E" w:rsidRDefault="0094424E" w:rsidP="00D44968">
      <w:pPr>
        <w:suppressLineNumbers/>
        <w:rPr>
          <w:rtl/>
        </w:rPr>
      </w:pPr>
    </w:p>
    <w:p w:rsidR="00234CCD" w:rsidRDefault="00234CCD"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234CCD">
            <w:pPr>
              <w:bidi w:val="0"/>
              <w:spacing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r w:rsidR="00234CCD" w:rsidTr="00234CCD">
        <w:trPr>
          <w:jc w:val="center"/>
        </w:trPr>
        <w:tc>
          <w:tcPr>
            <w:tcW w:w="8820" w:type="dxa"/>
            <w:hideMark/>
          </w:tcPr>
          <w:p w:rsidR="00234CCD" w:rsidRDefault="00234CCD">
            <w:pPr>
              <w:bidi w:val="0"/>
              <w:spacing w:after="120"/>
              <w:jc w:val="center"/>
              <w:rPr>
                <w:rFonts w:ascii="Arial" w:hAnsi="Arial"/>
                <w:b/>
                <w:bCs/>
                <w:noProof w:val="0"/>
                <w:sz w:val="28"/>
                <w:szCs w:val="28"/>
                <w:u w:val="single"/>
              </w:rPr>
            </w:pPr>
            <w:bookmarkStart w:id="1" w:name="NGCSBookmark"/>
            <w:bookmarkEnd w:id="1"/>
          </w:p>
        </w:tc>
      </w:tr>
      <w:tr w:rsidR="00234CCD" w:rsidTr="00234CCD">
        <w:trPr>
          <w:jc w:val="center"/>
        </w:trPr>
        <w:tc>
          <w:tcPr>
            <w:tcW w:w="8820" w:type="dxa"/>
          </w:tcPr>
          <w:p w:rsidR="00234CCD" w:rsidRDefault="00234CCD">
            <w:pPr>
              <w:bidi w:val="0"/>
              <w:jc w:val="center"/>
              <w:rPr>
                <w:rFonts w:ascii="Arial" w:hAnsi="Arial"/>
                <w:b/>
                <w:bCs/>
                <w:noProof w:val="0"/>
                <w:sz w:val="28"/>
                <w:szCs w:val="28"/>
                <w:u w:val="single"/>
              </w:rPr>
            </w:pPr>
          </w:p>
        </w:tc>
      </w:tr>
    </w:tbl>
    <w:p w:rsidR="00234CCD" w:rsidRDefault="00234CCD" w:rsidP="009654CD">
      <w:pPr>
        <w:spacing w:after="120" w:line="360" w:lineRule="auto"/>
        <w:ind w:left="720" w:hanging="720"/>
        <w:jc w:val="both"/>
        <w:rPr>
          <w:rFonts w:ascii="David" w:hAnsi="David"/>
          <w:rtl/>
        </w:rPr>
      </w:pPr>
      <w:r>
        <w:rPr>
          <w:rFonts w:ascii="David" w:hAnsi="David"/>
          <w:rtl/>
        </w:rPr>
        <w:t>1.</w:t>
      </w:r>
      <w:r>
        <w:rPr>
          <w:rFonts w:ascii="David" w:hAnsi="David"/>
          <w:rtl/>
        </w:rPr>
        <w:tab/>
        <w:t>עסקינן בבקשת רשות ערעור על החלטת בית משפט לענייני משפחה בחיפה (כב' השופטת ענבל קצב-קרן) שניתנו ביום 11.7.2023 בתיק תלה"מ 45102-03-23 (להלן: "</w:t>
      </w:r>
      <w:r>
        <w:rPr>
          <w:rFonts w:ascii="David" w:hAnsi="David"/>
          <w:b/>
          <w:bCs/>
          <w:rtl/>
        </w:rPr>
        <w:t>ההחלטה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אשר במסגרתה נפסק כי בית משפט קמא ידון בבקשה שהגיש המבקש בתיק קמא למזונות זמניים</w:t>
      </w:r>
      <w:r w:rsidR="009654CD">
        <w:rPr>
          <w:rFonts w:ascii="David" w:hAnsi="David" w:hint="cs"/>
          <w:rtl/>
        </w:rPr>
        <w:t>, ב</w:t>
      </w:r>
      <w:r w:rsidR="00B9319F">
        <w:rPr>
          <w:rFonts w:ascii="David" w:hAnsi="David" w:hint="cs"/>
          <w:rtl/>
        </w:rPr>
        <w:t xml:space="preserve">דיון </w:t>
      </w:r>
      <w:r w:rsidR="009654CD">
        <w:rPr>
          <w:rFonts w:ascii="David" w:hAnsi="David" w:hint="cs"/>
          <w:rtl/>
        </w:rPr>
        <w:t xml:space="preserve">שנקבע </w:t>
      </w:r>
      <w:r w:rsidR="00B9319F">
        <w:rPr>
          <w:rFonts w:ascii="David" w:hAnsi="David" w:hint="cs"/>
          <w:rtl/>
        </w:rPr>
        <w:t>ליום 30.11.2023</w:t>
      </w:r>
      <w:r w:rsidR="009654CD">
        <w:rPr>
          <w:rFonts w:ascii="David" w:hAnsi="David" w:hint="cs"/>
          <w:rtl/>
        </w:rPr>
        <w:t xml:space="preserve"> ולא קודם לכן</w:t>
      </w:r>
      <w:r>
        <w:rPr>
          <w:rFonts w:ascii="David" w:hAnsi="David"/>
          <w:rtl/>
        </w:rPr>
        <w:t>.</w:t>
      </w:r>
    </w:p>
    <w:p w:rsidR="00234CCD" w:rsidRDefault="00234CCD" w:rsidP="00B9319F">
      <w:pPr>
        <w:spacing w:after="120" w:line="360" w:lineRule="auto"/>
        <w:jc w:val="both"/>
        <w:rPr>
          <w:rFonts w:ascii="David" w:hAnsi="David"/>
          <w:b/>
          <w:bCs/>
          <w:u w:val="single"/>
          <w:rtl/>
        </w:rPr>
      </w:pPr>
    </w:p>
    <w:p w:rsidR="00234CCD" w:rsidRDefault="00234CCD" w:rsidP="00B9319F">
      <w:pPr>
        <w:spacing w:after="120" w:line="360" w:lineRule="auto"/>
        <w:jc w:val="both"/>
        <w:rPr>
          <w:rFonts w:ascii="David" w:hAnsi="David"/>
          <w:b/>
          <w:bCs/>
          <w:u w:val="single"/>
          <w:rtl/>
        </w:rPr>
      </w:pPr>
      <w:r>
        <w:rPr>
          <w:rFonts w:ascii="David" w:hAnsi="David"/>
          <w:b/>
          <w:bCs/>
          <w:u w:val="single"/>
          <w:rtl/>
        </w:rPr>
        <w:t>רקע בזעיר אנפין</w:t>
      </w:r>
    </w:p>
    <w:p w:rsidR="00234CCD" w:rsidRDefault="00234CCD" w:rsidP="00B9319F">
      <w:pPr>
        <w:spacing w:after="120" w:line="360" w:lineRule="auto"/>
        <w:ind w:left="720" w:hanging="720"/>
        <w:jc w:val="both"/>
        <w:rPr>
          <w:rFonts w:ascii="Arial" w:hAnsi="Arial"/>
          <w:noProof w:val="0"/>
        </w:rPr>
      </w:pPr>
      <w:r>
        <w:rPr>
          <w:rFonts w:ascii="David" w:hAnsi="David"/>
          <w:rtl/>
        </w:rPr>
        <w:t>2.</w:t>
      </w:r>
      <w:r>
        <w:rPr>
          <w:rFonts w:ascii="David" w:hAnsi="David"/>
          <w:rtl/>
        </w:rPr>
        <w:tab/>
      </w:r>
      <w:r>
        <w:rPr>
          <w:rFonts w:ascii="Arial" w:hAnsi="Arial"/>
          <w:noProof w:val="0"/>
          <w:rtl/>
        </w:rPr>
        <w:t>המבקש והמשיבה (להלן גם: "</w:t>
      </w:r>
      <w:r>
        <w:rPr>
          <w:rFonts w:ascii="Arial" w:hAnsi="Arial"/>
          <w:b/>
          <w:bCs/>
          <w:noProof w:val="0"/>
          <w:rtl/>
        </w:rPr>
        <w:t>הצדדים</w:t>
      </w:r>
      <w:r>
        <w:rPr>
          <w:rFonts w:ascii="Arial" w:hAnsi="Arial"/>
          <w:noProof w:val="0"/>
          <w:rtl/>
        </w:rPr>
        <w:t xml:space="preserve">") היו נשואים ונולדו להם שתי הקטינות שפרטיהן בכותרת. </w:t>
      </w:r>
    </w:p>
    <w:p w:rsidR="00234CCD" w:rsidRDefault="00234CCD" w:rsidP="002931DA">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יחסי הצדדים עלו על שרטון, וביום </w:t>
      </w:r>
      <w:r w:rsidR="002931DA">
        <w:rPr>
          <w:rFonts w:ascii="Arial" w:hAnsi="Arial" w:hint="cs"/>
          <w:noProof w:val="0"/>
          <w:rtl/>
        </w:rPr>
        <w:t xml:space="preserve">... [2015] </w:t>
      </w:r>
      <w:r>
        <w:rPr>
          <w:rFonts w:ascii="Arial" w:hAnsi="Arial"/>
          <w:noProof w:val="0"/>
          <w:rtl/>
        </w:rPr>
        <w:t xml:space="preserve">נחתם בין הצדדים הסכם גירושין, אשר אושר וקיבל תוקף של פסק דין ביום </w:t>
      </w:r>
      <w:r w:rsidR="002931DA">
        <w:rPr>
          <w:rFonts w:ascii="Arial" w:hAnsi="Arial" w:hint="cs"/>
          <w:noProof w:val="0"/>
          <w:rtl/>
        </w:rPr>
        <w:t xml:space="preserve">... [2015] </w:t>
      </w:r>
      <w:r>
        <w:rPr>
          <w:rFonts w:ascii="Arial" w:hAnsi="Arial"/>
          <w:noProof w:val="0"/>
          <w:rtl/>
        </w:rPr>
        <w:t>(להלן: "</w:t>
      </w:r>
      <w:r>
        <w:rPr>
          <w:rFonts w:ascii="Arial" w:hAnsi="Arial"/>
          <w:b/>
          <w:bCs/>
          <w:noProof w:val="0"/>
          <w:rtl/>
        </w:rPr>
        <w:t>ההסכם</w:t>
      </w:r>
      <w:r>
        <w:rPr>
          <w:rFonts w:ascii="Arial" w:hAnsi="Arial"/>
          <w:noProof w:val="0"/>
          <w:rtl/>
        </w:rPr>
        <w:t xml:space="preserve">"). ההסכם התייחס, בין היתר, למזונות הקטינות, ונקבע בו כי המבקש יישא במזונות הקטינות בסך של 3,400 ₪ לחודש. </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לאחר שחלפו כעשרה חודשים ממועד חתימת ההסכם, הגיש המבקש תביעה במסגרתה נדרש בית משפט קמא להורות על ביטול דמי המזונות, או לחילופין, על הפחתתם בעילה של שינוי נסיבות מהותי אשר התבטא, כך לטענת המבקש, בשינוי בגובה השתכרות הצדדים מאז חתימת ההסכם, וב-בע"מ 919/15 (תמ"ש 29972-07-16 – להלן "</w:t>
      </w:r>
      <w:r>
        <w:rPr>
          <w:rFonts w:ascii="Arial" w:hAnsi="Arial"/>
          <w:b/>
          <w:bCs/>
          <w:noProof w:val="0"/>
          <w:rtl/>
        </w:rPr>
        <w:t>התובענה הקודמת להפחתה</w:t>
      </w:r>
      <w:r>
        <w:rPr>
          <w:rFonts w:ascii="Arial" w:hAnsi="Arial"/>
          <w:noProof w:val="0"/>
          <w:rtl/>
        </w:rPr>
        <w:t xml:space="preserve">"). </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בפסק דינו בתובענה הקודמת להפחתה, מיום 20.3.2018, הבהיר בית משפט קמא כי בנסיבות המקרה שהונח לפתחו "אין בהלכת בע"מ 919/15 להוות שינוי נסיבות". בהמשך בחן בית המשפט לענייני משפחה את טענת המבקש בדבר שינוי מהותי בהשתכרות הצדדים. לאחר בחינת הראיות, הגיע בית </w:t>
      </w:r>
      <w:r>
        <w:rPr>
          <w:rFonts w:ascii="Arial" w:hAnsi="Arial"/>
          <w:noProof w:val="0"/>
          <w:rtl/>
        </w:rPr>
        <w:lastRenderedPageBreak/>
        <w:t xml:space="preserve">המשפט לענייני משפחה לכלל מסקנה, כי חל שינוי נסיבות מהותי בהשתכרותם של הצדדים, המצדיק התערבות בסכום של דמי המזונות. לפיכך, ובהינתן צרכי הקטינות וחלוקת הזמן ההורי, החליט בית המשפט קמא להפחית את סכום המזונות לסך של 1,200 ₪ עבור כל קטינה, היינו, החל מחודש אפריל 2018, עמד סכום המזונות הכולל על סך של 2,400 ₪ לחודש. </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6.</w:t>
      </w:r>
      <w:r>
        <w:rPr>
          <w:rFonts w:ascii="Arial" w:hAnsi="Arial"/>
          <w:noProof w:val="0"/>
          <w:rtl/>
        </w:rPr>
        <w:tab/>
        <w:t>המבקש ערער על פסק הדין הנ"ל לבית משפ</w:t>
      </w:r>
      <w:r w:rsidR="00A97242">
        <w:rPr>
          <w:rFonts w:ascii="Arial" w:hAnsi="Arial"/>
          <w:noProof w:val="0"/>
          <w:rtl/>
        </w:rPr>
        <w:t>ט זה (המשיבה ערערה אף היא בערע</w:t>
      </w:r>
      <w:r w:rsidR="00A97242">
        <w:rPr>
          <w:rFonts w:ascii="Arial" w:hAnsi="Arial" w:hint="cs"/>
          <w:noProof w:val="0"/>
          <w:rtl/>
        </w:rPr>
        <w:t>ור</w:t>
      </w:r>
      <w:r>
        <w:rPr>
          <w:rFonts w:ascii="Arial" w:hAnsi="Arial"/>
          <w:noProof w:val="0"/>
          <w:rtl/>
        </w:rPr>
        <w:t xml:space="preserve"> שכנגד), ובית משפט זה דחה את הערעור והערעור שכנגד שהוגשו, בקבעו כי "</w:t>
      </w:r>
      <w:r>
        <w:rPr>
          <w:rFonts w:ascii="Arial" w:hAnsi="Arial"/>
          <w:b/>
          <w:bCs/>
          <w:noProof w:val="0"/>
          <w:rtl/>
        </w:rPr>
        <w:t>דווקא טענות כל אחד מן הצדדים בערעורו הוא, מלמדות כי פסק הדין קמא מצא את 'קו האמצע' הנכון והראוי בין הצדדים, בכל הקשור לשאלת קביעת סכום המזונות, לאחר שינוי הנסיבות המהותי שמצא הנוגע לשכרם של הצדדים...</w:t>
      </w:r>
      <w:r>
        <w:rPr>
          <w:rFonts w:ascii="Arial" w:hAnsi="Arial"/>
          <w:noProof w:val="0"/>
          <w:rtl/>
        </w:rPr>
        <w:t>".</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המבקש לא אמר נואש, והגיש בקשת רשות ערעור על פסק דינו של בית משפט זה בערעור הנ"ל לבית המשפט העליון (בע"מ 9204/18), שנדחתה בהחלטת כב' השופט ניל הנדל מיום 30.3.2020.</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t>ביום 20.3.2023 הגיש המבקש את התובענה קמא, "תביעה למזונות ולמדור", במסגרתה ביקש את ביטול חיובו בתשלום דמי מזונות עבור הקטינות לידי המשיבה; חיוב המשיבה בתשלום דמי מזונות ומדור הקטינות לידי המבקש וקביעת תשלום הוצאות חריגות ומחציות בהתאם ליחס ההכנסות ולמצב הכלכלי של הצדדים.</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t>ביום 13.4.2023 הגיש המבקש "בקשה לפסיקת מזונות זמניים ומדור" בתיק קמא. במסגרת הבקשה ביקש להורות על הקפאת תשלום מזונות הקטינות ע"י המבקש לידי המשיבה והקפאת הריביות בתי</w:t>
      </w:r>
      <w:r w:rsidR="00826861">
        <w:rPr>
          <w:rFonts w:ascii="Arial" w:hAnsi="Arial"/>
          <w:noProof w:val="0"/>
          <w:rtl/>
        </w:rPr>
        <w:t xml:space="preserve">ק ההוצל"פ עד למתן פס"ד בתביעה; </w:t>
      </w:r>
      <w:r>
        <w:rPr>
          <w:rFonts w:ascii="Arial" w:hAnsi="Arial"/>
          <w:noProof w:val="0"/>
          <w:rtl/>
        </w:rPr>
        <w:t>להורות על חיוב המשיבה בתשלום מזונות זמניים ומדור עבור הקטינות לידי המבקש, בסך של 2,400 ₪ לחודש (1,200 ₪ עבור כל קטינה) עד הגיע כל אחד מהקטינות לגיל 18 ושליש מהסכום מהגיע הקטינות לגיל 18 ועד גיל 21; לחייב המשיבה בתשלום 40% מהוצאות המדור של הקטינות בעת שהותן אצל המבקש בסך של 1,040 ₪ לחודש; לחייב את המשיבה בתשלום 75% מהוצאת החריגות של הקטינות נוכח יחס הכנסות הצדדים ומצבה הכלכלי של המשיבה.</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לטענת המבקש, מתלושי השכר שצרפה המשיבה לכתב הגנתה עולה כי הכנסתה הממוצעת מהשתכרותה בלבד עומדת ע"ס 19,300 ₪ נטו לחודש – שכרה זה גדל לאחרונה והינו פי שלוש מהכנסת המבקש, העומדת ע"ס 6,300 ₪ לחודש – ומהווה כשלעצמו שינוי נסיבות מהותי. זאת ועוד, לטענתו, תשלומי המזונות נכון למועד הגשת הבקשה יוצרים מצב של בית עני (המבקש) ובית עשיר (המשיבה), ואין ביכולת המבקש לכלכל את עצמו. </w:t>
      </w:r>
    </w:p>
    <w:p w:rsidR="00234CCD" w:rsidRDefault="00234CCD" w:rsidP="00B9319F">
      <w:pPr>
        <w:spacing w:after="120" w:line="360" w:lineRule="auto"/>
        <w:ind w:left="709" w:hanging="850"/>
        <w:jc w:val="both"/>
        <w:rPr>
          <w:rFonts w:ascii="Arial" w:hAnsi="Arial"/>
          <w:noProof w:val="0"/>
        </w:rPr>
      </w:pPr>
      <w:r>
        <w:rPr>
          <w:rFonts w:ascii="Arial" w:hAnsi="Arial"/>
          <w:noProof w:val="0"/>
          <w:rtl/>
        </w:rPr>
        <w:tab/>
        <w:t>עוד לטענתו, קביעת סכום המזונות נעשתה כאשר הכנסת הצדדים הייתה זהה, לשני הצדדים</w:t>
      </w:r>
      <w:r>
        <w:rPr>
          <w:rFonts w:ascii="Arial" w:hAnsi="Arial" w:hint="cs"/>
          <w:noProof w:val="0"/>
          <w:rtl/>
        </w:rPr>
        <w:t xml:space="preserve"> </w:t>
      </w:r>
      <w:r>
        <w:rPr>
          <w:rFonts w:ascii="Arial" w:hAnsi="Arial"/>
          <w:noProof w:val="0"/>
          <w:rtl/>
        </w:rPr>
        <w:t xml:space="preserve">עלויות מדור, זמני השהות 6/8 והאחריות ההורית משותפת וכעת, כאשר המשיבה מרוויחה לטענתו, פי שלוש ממנו יש לחייב אותה בתשלום מזונות לידיו ולאור הפרשי ההשתכרות המשמעותיים באותו גובה החיוב לכל הפחות. </w:t>
      </w:r>
    </w:p>
    <w:p w:rsidR="00234CCD" w:rsidRDefault="00234CCD" w:rsidP="00B9319F">
      <w:pPr>
        <w:spacing w:after="120" w:line="360" w:lineRule="auto"/>
        <w:ind w:left="709" w:hanging="709"/>
        <w:jc w:val="both"/>
        <w:rPr>
          <w:rFonts w:ascii="Arial" w:hAnsi="Arial"/>
          <w:noProof w:val="0"/>
          <w:rtl/>
        </w:rPr>
      </w:pPr>
      <w:r>
        <w:rPr>
          <w:rFonts w:ascii="Arial" w:hAnsi="Arial"/>
          <w:noProof w:val="0"/>
          <w:rtl/>
        </w:rPr>
        <w:lastRenderedPageBreak/>
        <w:t>11.</w:t>
      </w:r>
      <w:r>
        <w:rPr>
          <w:rFonts w:ascii="Arial" w:hAnsi="Arial"/>
          <w:noProof w:val="0"/>
          <w:rtl/>
        </w:rPr>
        <w:tab/>
        <w:t>המשיבה הגישה תגובתה בתיק קמא, ולטענתה יש לדחות את הבקשה. לטענתה, הבקשה אינה לסעד זמני, שכן משמעותה קבלת מלוא הסעד הסופי בהליך – היעתרות לתביעה,</w:t>
      </w:r>
      <w:r>
        <w:rPr>
          <w:rFonts w:ascii="Arial" w:hAnsi="Arial" w:hint="cs"/>
          <w:noProof w:val="0"/>
          <w:rtl/>
        </w:rPr>
        <w:t xml:space="preserve"> </w:t>
      </w:r>
      <w:r>
        <w:rPr>
          <w:rFonts w:ascii="Arial" w:hAnsi="Arial"/>
          <w:noProof w:val="0"/>
          <w:rtl/>
        </w:rPr>
        <w:t>ביטול פס</w:t>
      </w:r>
      <w:r>
        <w:rPr>
          <w:rFonts w:ascii="Arial" w:hAnsi="Arial" w:hint="cs"/>
          <w:noProof w:val="0"/>
          <w:rtl/>
        </w:rPr>
        <w:t xml:space="preserve">ק הדין </w:t>
      </w:r>
      <w:r>
        <w:rPr>
          <w:rFonts w:ascii="Arial" w:hAnsi="Arial"/>
          <w:noProof w:val="0"/>
          <w:rtl/>
        </w:rPr>
        <w:t xml:space="preserve">העומד ותלוי בין הצדדים ועוד טרם החלה להישמע התובענה. עוד לטענתה, עסקינן בתביעה שנייה להפחתת מזונות, כאשר המשיבה "הבליגה" על הפחתת המזונות הגם שלא מן הנמנע שהיה מקום להתערב בה לטובתה, אך התערבות כזו לא נעשתה וזאת משום שלא הגישה ערעור מטעמה. </w:t>
      </w:r>
    </w:p>
    <w:p w:rsidR="00234CCD" w:rsidRDefault="00234CCD" w:rsidP="00B9319F">
      <w:pPr>
        <w:spacing w:after="120" w:line="360" w:lineRule="auto"/>
        <w:ind w:left="652" w:hanging="652"/>
        <w:jc w:val="both"/>
        <w:rPr>
          <w:rFonts w:ascii="Arial" w:hAnsi="Arial"/>
          <w:noProof w:val="0"/>
          <w:rtl/>
        </w:rPr>
      </w:pPr>
      <w:r>
        <w:rPr>
          <w:rFonts w:ascii="Arial" w:hAnsi="Arial"/>
          <w:noProof w:val="0"/>
          <w:rtl/>
        </w:rPr>
        <w:tab/>
      </w:r>
      <w:r>
        <w:rPr>
          <w:rFonts w:ascii="Arial" w:hAnsi="Arial"/>
          <w:noProof w:val="0"/>
          <w:rtl/>
        </w:rPr>
        <w:tab/>
        <w:t xml:space="preserve">עוד לטענתה, הסעד המבוקש אינו הקפאת המצב הקיים אלא שינויו של זה – צו שהענקתו כסעד זמני </w:t>
      </w:r>
      <w:r>
        <w:rPr>
          <w:rFonts w:ascii="Arial" w:hAnsi="Arial"/>
          <w:noProof w:val="0"/>
          <w:rtl/>
        </w:rPr>
        <w:tab/>
        <w:t>הינה מן הנדירות. לטענתה, נמנע המבקש להעלות כל טענה בעניין הדחיפות הנטענת</w:t>
      </w:r>
      <w:r>
        <w:rPr>
          <w:rFonts w:ascii="Arial" w:hAnsi="Arial" w:hint="cs"/>
          <w:noProof w:val="0"/>
          <w:rtl/>
        </w:rPr>
        <w:t xml:space="preserve"> </w:t>
      </w:r>
      <w:r>
        <w:rPr>
          <w:rFonts w:ascii="Arial" w:hAnsi="Arial"/>
          <w:noProof w:val="0"/>
          <w:rtl/>
        </w:rPr>
        <w:t xml:space="preserve">ועמידה </w:t>
      </w:r>
      <w:r>
        <w:rPr>
          <w:rFonts w:ascii="Arial" w:hAnsi="Arial"/>
          <w:noProof w:val="0"/>
          <w:rtl/>
        </w:rPr>
        <w:tab/>
        <w:t xml:space="preserve">בקריטריונים הקבועים בדין בזיקה למתן סעד זמני ואין כל עילה לתתו. </w:t>
      </w:r>
    </w:p>
    <w:p w:rsidR="00234CCD" w:rsidRDefault="00234CCD" w:rsidP="00B9319F">
      <w:pPr>
        <w:spacing w:after="120" w:line="360" w:lineRule="auto"/>
        <w:ind w:left="652" w:hanging="652"/>
        <w:jc w:val="both"/>
        <w:rPr>
          <w:rFonts w:ascii="Arial" w:hAnsi="Arial"/>
          <w:noProof w:val="0"/>
          <w:rtl/>
        </w:rPr>
      </w:pPr>
      <w:r>
        <w:rPr>
          <w:rFonts w:ascii="Arial" w:hAnsi="Arial"/>
          <w:noProof w:val="0"/>
          <w:rtl/>
        </w:rPr>
        <w:t>12.</w:t>
      </w:r>
      <w:r>
        <w:rPr>
          <w:rFonts w:ascii="Arial" w:hAnsi="Arial"/>
          <w:noProof w:val="0"/>
          <w:rtl/>
        </w:rPr>
        <w:tab/>
      </w:r>
      <w:r>
        <w:rPr>
          <w:rFonts w:ascii="Arial" w:hAnsi="Arial"/>
          <w:noProof w:val="0"/>
          <w:u w:val="single"/>
          <w:rtl/>
        </w:rPr>
        <w:t>ביום 16.5.23 ניתנה החלטת בית משפט קמא, כדלקמן</w:t>
      </w:r>
      <w:r>
        <w:rPr>
          <w:rFonts w:ascii="Arial" w:hAnsi="Arial"/>
          <w:noProof w:val="0"/>
          <w:rtl/>
        </w:rPr>
        <w:t>:</w:t>
      </w:r>
    </w:p>
    <w:p w:rsidR="00234CCD" w:rsidRDefault="00234CCD" w:rsidP="00B9319F">
      <w:pPr>
        <w:spacing w:after="120" w:line="360" w:lineRule="auto"/>
        <w:ind w:left="1077" w:right="709" w:hanging="652"/>
        <w:jc w:val="both"/>
        <w:rPr>
          <w:rFonts w:ascii="Arial" w:hAnsi="Arial"/>
          <w:b/>
          <w:bCs/>
          <w:noProof w:val="0"/>
          <w:rtl/>
        </w:rPr>
      </w:pPr>
      <w:r>
        <w:rPr>
          <w:rFonts w:ascii="Arial" w:hAnsi="Arial"/>
          <w:noProof w:val="0"/>
          <w:rtl/>
        </w:rPr>
        <w:tab/>
        <w:t>"</w:t>
      </w:r>
      <w:r>
        <w:rPr>
          <w:rFonts w:ascii="Arial" w:hAnsi="Arial"/>
          <w:b/>
          <w:bCs/>
          <w:noProof w:val="0"/>
          <w:rtl/>
        </w:rPr>
        <w:t>6.</w:t>
      </w:r>
      <w:r>
        <w:rPr>
          <w:rFonts w:ascii="Arial" w:hAnsi="Arial"/>
          <w:b/>
          <w:bCs/>
          <w:noProof w:val="0"/>
          <w:rtl/>
        </w:rPr>
        <w:tab/>
        <w:t xml:space="preserve">מצויים אנו בשלב ראשוני של ההליך. </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 xml:space="preserve">כתב הגנה בתובענה הוגש ביום 3.4.2023 ודיון ראשון קבוע ביום 11.7.2023. </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 xml:space="preserve">לאחר שעיינתי בטענות הצדדים, ומבלי להכריע בהן בשלב זה של ההליך - לא מצאתי כי נפרסה, בשלב זה, התמונה המלאה ביחס למצבו הכלכלי של מי מהצדדים, וכי חל שינוי נסיבות מהותי, אשר מצדיק בשלב זה את ביטול המזונות שנקבעו ו/או חיובה של המשיבה בתשלום מזונות זמניים לידי המבקש. </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7.</w:t>
      </w:r>
      <w:r>
        <w:rPr>
          <w:rFonts w:ascii="Arial" w:hAnsi="Arial"/>
          <w:b/>
          <w:bCs/>
          <w:noProof w:val="0"/>
          <w:rtl/>
        </w:rPr>
        <w:tab/>
        <w:t>דיון בעניינם של הצדדים קבוע ליום 11.7.2023.</w:t>
      </w:r>
    </w:p>
    <w:p w:rsidR="00234CCD" w:rsidRDefault="00B9319F" w:rsidP="00B9319F">
      <w:pPr>
        <w:spacing w:after="120" w:line="360" w:lineRule="auto"/>
        <w:ind w:left="1077" w:right="709" w:hanging="652"/>
        <w:jc w:val="both"/>
        <w:rPr>
          <w:rFonts w:ascii="Arial" w:hAnsi="Arial"/>
          <w:b/>
          <w:bCs/>
          <w:noProof w:val="0"/>
          <w:rtl/>
        </w:rPr>
      </w:pPr>
      <w:r>
        <w:rPr>
          <w:rFonts w:ascii="Arial" w:hAnsi="Arial"/>
          <w:b/>
          <w:bCs/>
          <w:noProof w:val="0"/>
          <w:rtl/>
        </w:rPr>
        <w:tab/>
        <w:t>כאמור,</w:t>
      </w:r>
      <w:r w:rsidR="004932F5">
        <w:rPr>
          <w:rFonts w:ascii="Arial" w:hAnsi="Arial" w:hint="cs"/>
          <w:b/>
          <w:bCs/>
          <w:noProof w:val="0"/>
          <w:rtl/>
        </w:rPr>
        <w:t xml:space="preserve"> </w:t>
      </w:r>
      <w:r w:rsidR="00234CCD">
        <w:rPr>
          <w:rFonts w:ascii="Arial" w:hAnsi="Arial"/>
          <w:b/>
          <w:bCs/>
          <w:noProof w:val="0"/>
          <w:rtl/>
        </w:rPr>
        <w:t>טענות המבקש בדבר שינוי הנסיבות שחל בהש</w:t>
      </w:r>
      <w:r>
        <w:rPr>
          <w:rFonts w:ascii="Arial" w:hAnsi="Arial"/>
          <w:b/>
          <w:bCs/>
          <w:noProof w:val="0"/>
          <w:rtl/>
        </w:rPr>
        <w:t xml:space="preserve">תכרותה ומצבה הכלכלי של המשיבה, </w:t>
      </w:r>
      <w:r w:rsidR="00234CCD">
        <w:rPr>
          <w:rFonts w:ascii="Arial" w:hAnsi="Arial"/>
          <w:b/>
          <w:bCs/>
          <w:noProof w:val="0"/>
          <w:rtl/>
        </w:rPr>
        <w:t xml:space="preserve">טעונות הוכחה ותתבררנה במהלך ההליכים המשפטיים. </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 xml:space="preserve">לא ניתן להכריע בהן בשלב זה, טרם התקיים דיון ענייני ומעמיק. </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על כן, לא מצאתי בשלב זה להיעתר לבקשה, והיא תידון ותוכרע בהליך שיתקיים.</w:t>
      </w:r>
    </w:p>
    <w:p w:rsidR="00234CCD" w:rsidRDefault="00234CCD" w:rsidP="00B9319F">
      <w:pPr>
        <w:spacing w:after="120" w:line="360" w:lineRule="auto"/>
        <w:ind w:left="1077" w:right="709" w:hanging="652"/>
        <w:jc w:val="both"/>
        <w:rPr>
          <w:rFonts w:ascii="Arial" w:hAnsi="Arial"/>
          <w:b/>
          <w:bCs/>
          <w:noProof w:val="0"/>
          <w:rtl/>
        </w:rPr>
      </w:pPr>
      <w:r>
        <w:rPr>
          <w:rFonts w:ascii="Arial" w:hAnsi="Arial"/>
          <w:b/>
          <w:bCs/>
          <w:noProof w:val="0"/>
          <w:rtl/>
        </w:rPr>
        <w:tab/>
        <w:t>..."</w:t>
      </w:r>
    </w:p>
    <w:p w:rsidR="00234CCD" w:rsidRDefault="00234CCD" w:rsidP="006570F5">
      <w:pPr>
        <w:spacing w:after="120" w:line="360" w:lineRule="auto"/>
        <w:ind w:left="709" w:hanging="709"/>
        <w:jc w:val="both"/>
        <w:rPr>
          <w:rFonts w:ascii="Arial" w:hAnsi="Arial"/>
          <w:noProof w:val="0"/>
          <w:rtl/>
        </w:rPr>
      </w:pPr>
      <w:r>
        <w:rPr>
          <w:rFonts w:ascii="Arial" w:hAnsi="Arial"/>
          <w:noProof w:val="0"/>
          <w:rtl/>
        </w:rPr>
        <w:t>13.</w:t>
      </w:r>
      <w:r>
        <w:rPr>
          <w:rFonts w:ascii="Arial" w:hAnsi="Arial"/>
          <w:noProof w:val="0"/>
          <w:rtl/>
        </w:rPr>
        <w:tab/>
        <w:t>בקשת רשות ערעור שהגיש המבקש על ההחלטה הנ"ל (רמ"ש 47195-05-23) נדחתה ללא תשובה, בהחלטתה של כב' השופטת אספרנצה אלון מיום 21.5.23.</w:t>
      </w:r>
    </w:p>
    <w:p w:rsidR="00234CCD" w:rsidRDefault="00234CCD" w:rsidP="00B9319F">
      <w:pPr>
        <w:spacing w:after="120" w:line="360" w:lineRule="auto"/>
        <w:ind w:left="709" w:hanging="709"/>
        <w:jc w:val="both"/>
        <w:rPr>
          <w:rFonts w:ascii="Arial" w:hAnsi="Arial"/>
          <w:noProof w:val="0"/>
          <w:rtl/>
        </w:rPr>
      </w:pPr>
      <w:r>
        <w:rPr>
          <w:rFonts w:ascii="Arial" w:hAnsi="Arial"/>
          <w:noProof w:val="0"/>
          <w:rtl/>
        </w:rPr>
        <w:t>14.</w:t>
      </w:r>
      <w:r>
        <w:rPr>
          <w:rFonts w:ascii="Arial" w:hAnsi="Arial"/>
          <w:noProof w:val="0"/>
          <w:rtl/>
        </w:rPr>
        <w:tab/>
        <w:t xml:space="preserve">ביום 11.7.2023 התקיים דיון בתיק קמא, במסגרתו עמד המבקש על תביעתו ועל בירור בקשתו. </w:t>
      </w:r>
    </w:p>
    <w:p w:rsidR="00234CCD" w:rsidRDefault="00234CCD" w:rsidP="00B9319F">
      <w:pPr>
        <w:spacing w:after="120" w:line="360" w:lineRule="auto"/>
        <w:ind w:left="709" w:hanging="709"/>
        <w:jc w:val="both"/>
        <w:rPr>
          <w:rFonts w:ascii="Arial" w:hAnsi="Arial"/>
          <w:noProof w:val="0"/>
          <w:rtl/>
        </w:rPr>
      </w:pPr>
      <w:r>
        <w:rPr>
          <w:rFonts w:ascii="Arial" w:hAnsi="Arial"/>
          <w:noProof w:val="0"/>
          <w:rtl/>
        </w:rPr>
        <w:tab/>
      </w:r>
      <w:r>
        <w:rPr>
          <w:rFonts w:ascii="Arial" w:hAnsi="Arial"/>
          <w:noProof w:val="0"/>
          <w:u w:val="single"/>
          <w:rtl/>
        </w:rPr>
        <w:t>עיון בפרוטוקול הדיון מלמד, כי טרם מתן ההחלטה נשוא בקשת רשות הערעור דנן, פנה בית המשפט קמא אל התובע כדלקמן</w:t>
      </w:r>
      <w:r>
        <w:rPr>
          <w:rFonts w:ascii="Arial" w:hAnsi="Arial"/>
          <w:noProof w:val="0"/>
          <w:rtl/>
        </w:rPr>
        <w:t>:</w:t>
      </w:r>
    </w:p>
    <w:p w:rsidR="00234CCD" w:rsidRDefault="00234CCD" w:rsidP="00826861">
      <w:pPr>
        <w:spacing w:after="120" w:line="360" w:lineRule="auto"/>
        <w:ind w:left="1134" w:right="709" w:hanging="709"/>
        <w:jc w:val="both"/>
        <w:rPr>
          <w:rFonts w:ascii="Arial" w:hAnsi="Arial"/>
          <w:noProof w:val="0"/>
          <w:rtl/>
        </w:rPr>
      </w:pPr>
      <w:r>
        <w:rPr>
          <w:rFonts w:ascii="Arial" w:hAnsi="Arial"/>
          <w:noProof w:val="0"/>
          <w:rtl/>
        </w:rPr>
        <w:tab/>
        <w:t>"</w:t>
      </w:r>
      <w:r>
        <w:rPr>
          <w:rFonts w:ascii="Arial" w:hAnsi="Arial"/>
          <w:b/>
          <w:bCs/>
          <w:noProof w:val="0"/>
          <w:rtl/>
        </w:rPr>
        <w:t xml:space="preserve">לאחר שעיינתי במסמכים שהוגשו בפניי עד כה, בפסה"ד שניתן ביום 20.3.18, בהעדר שינוי נסיבות לכאורה שחל על יסוד החומר שבפניי בשלב זה ובהתחשב בגובה המזונות </w:t>
      </w:r>
      <w:r>
        <w:rPr>
          <w:rFonts w:ascii="Arial" w:hAnsi="Arial"/>
          <w:b/>
          <w:bCs/>
          <w:noProof w:val="0"/>
          <w:rtl/>
        </w:rPr>
        <w:lastRenderedPageBreak/>
        <w:t xml:space="preserve">שנפסקו (הופחתו בפסה"ד שניתן ביום  20.3.18), בית המשפט  פונה אל התובע על מנת שיתן הסכמתו למחיקת העתירה ללא </w:t>
      </w:r>
      <w:r w:rsidR="00826861">
        <w:rPr>
          <w:rFonts w:ascii="Arial" w:hAnsi="Arial"/>
          <w:b/>
          <w:bCs/>
          <w:noProof w:val="0"/>
          <w:rtl/>
        </w:rPr>
        <w:t xml:space="preserve">צו להוצאות בשלב זה </w:t>
      </w:r>
      <w:r>
        <w:rPr>
          <w:rFonts w:ascii="Arial" w:hAnsi="Arial"/>
          <w:b/>
          <w:bCs/>
          <w:noProof w:val="0"/>
          <w:rtl/>
        </w:rPr>
        <w:t>וייתר המשך הדיונים</w:t>
      </w:r>
      <w:r>
        <w:rPr>
          <w:rFonts w:ascii="Arial" w:hAnsi="Arial"/>
          <w:noProof w:val="0"/>
          <w:rtl/>
        </w:rPr>
        <w:t>" (עמ' 3 לפרוט', שו 22-26).</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ab/>
        <w:t>בתשובתו שנרשמה בפרוטוקול מיד לאחר מכן, התנגד המבקש (התובע) למחיקת התובענה.</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r>
      <w:r>
        <w:rPr>
          <w:rFonts w:ascii="Arial" w:hAnsi="Arial"/>
          <w:noProof w:val="0"/>
          <w:u w:val="single"/>
          <w:rtl/>
        </w:rPr>
        <w:t>בסוף הדיון ניתנה החלטת בית המשפט קמא, כהאי לישנא</w:t>
      </w:r>
      <w:r>
        <w:rPr>
          <w:rFonts w:ascii="Arial" w:hAnsi="Arial"/>
          <w:noProof w:val="0"/>
          <w:rtl/>
        </w:rPr>
        <w:t>:</w:t>
      </w:r>
    </w:p>
    <w:p w:rsidR="00234CCD" w:rsidRDefault="00234CCD" w:rsidP="00B9319F">
      <w:pPr>
        <w:spacing w:after="120" w:line="360" w:lineRule="auto"/>
        <w:ind w:left="1219" w:right="709"/>
        <w:jc w:val="both"/>
        <w:rPr>
          <w:b/>
          <w:bCs/>
          <w:noProof w:val="0"/>
          <w:rtl/>
        </w:rPr>
      </w:pPr>
      <w:r>
        <w:rPr>
          <w:b/>
          <w:bCs/>
          <w:rtl/>
        </w:rPr>
        <w:t xml:space="preserve">"1. נקבע לדיון הוכחות לתאריך  30.11.23 שעה 12:00-14:30. </w:t>
      </w:r>
    </w:p>
    <w:p w:rsidR="00234CCD" w:rsidRDefault="00234CCD" w:rsidP="00B9319F">
      <w:pPr>
        <w:spacing w:after="120" w:line="360" w:lineRule="auto"/>
        <w:ind w:left="1219" w:right="709"/>
        <w:jc w:val="both"/>
        <w:rPr>
          <w:b/>
          <w:bCs/>
          <w:noProof w:val="0"/>
          <w:rtl/>
        </w:rPr>
      </w:pPr>
      <w:r>
        <w:rPr>
          <w:b/>
          <w:bCs/>
          <w:rtl/>
        </w:rPr>
        <w:t xml:space="preserve">תצהירי עדות ראשית מטעם התובע יוגשו עד ליום 15.9.23. </w:t>
      </w:r>
    </w:p>
    <w:p w:rsidR="00234CCD" w:rsidRDefault="00234CCD" w:rsidP="00B9319F">
      <w:pPr>
        <w:spacing w:after="120" w:line="360" w:lineRule="auto"/>
        <w:ind w:left="1219" w:right="709"/>
        <w:jc w:val="both"/>
        <w:rPr>
          <w:b/>
          <w:bCs/>
          <w:noProof w:val="0"/>
          <w:rtl/>
        </w:rPr>
      </w:pPr>
      <w:r>
        <w:rPr>
          <w:b/>
          <w:bCs/>
          <w:rtl/>
        </w:rPr>
        <w:t xml:space="preserve">תצהירי עדות ראשית מטעם הנתבעת יוגשו עד ליום 15.10.23. </w:t>
      </w:r>
    </w:p>
    <w:p w:rsidR="00234CCD" w:rsidRDefault="00234CCD" w:rsidP="00B9319F">
      <w:pPr>
        <w:spacing w:after="120" w:line="360" w:lineRule="auto"/>
        <w:ind w:left="1219" w:right="709"/>
        <w:jc w:val="both"/>
        <w:rPr>
          <w:b/>
          <w:bCs/>
          <w:noProof w:val="0"/>
          <w:rtl/>
        </w:rPr>
      </w:pPr>
      <w:r>
        <w:rPr>
          <w:b/>
          <w:bCs/>
          <w:rtl/>
        </w:rPr>
        <w:t xml:space="preserve">הצדדים יהיו רשאים להגיש תצהירי עדות משלימים עד ליום 1.11.23. </w:t>
      </w:r>
    </w:p>
    <w:p w:rsidR="00234CCD" w:rsidRDefault="00234CCD" w:rsidP="00B9319F">
      <w:pPr>
        <w:spacing w:after="120" w:line="360" w:lineRule="auto"/>
        <w:ind w:left="1219" w:right="709"/>
        <w:jc w:val="both"/>
        <w:rPr>
          <w:b/>
          <w:bCs/>
          <w:rtl/>
        </w:rPr>
      </w:pPr>
      <w:r>
        <w:rPr>
          <w:b/>
          <w:bCs/>
          <w:rtl/>
        </w:rPr>
        <w:t>הצדדים יצרפו לתצהירים כל מסמך אשר בדעתם להסתמך עליו בהליך המשפטי וכן</w:t>
      </w:r>
    </w:p>
    <w:p w:rsidR="00234CCD" w:rsidRDefault="00234CCD" w:rsidP="00B9319F">
      <w:pPr>
        <w:spacing w:after="120" w:line="360" w:lineRule="auto"/>
        <w:ind w:left="1219" w:right="709" w:hanging="720"/>
        <w:jc w:val="both"/>
        <w:rPr>
          <w:b/>
          <w:bCs/>
        </w:rPr>
      </w:pPr>
      <w:r>
        <w:rPr>
          <w:b/>
          <w:bCs/>
          <w:rtl/>
        </w:rPr>
        <w:tab/>
        <w:t xml:space="preserve">א. אישורים על הכנסות מכל מקור שהוא החל מ-7/23  ועד למועד הגשת התצהיר.  </w:t>
      </w:r>
    </w:p>
    <w:p w:rsidR="00234CCD" w:rsidRDefault="00234CCD" w:rsidP="00B9319F">
      <w:pPr>
        <w:spacing w:after="120" w:line="360" w:lineRule="auto"/>
        <w:ind w:left="1219" w:right="709" w:hanging="720"/>
        <w:jc w:val="both"/>
        <w:rPr>
          <w:b/>
          <w:bCs/>
          <w:rtl/>
        </w:rPr>
      </w:pPr>
      <w:r>
        <w:rPr>
          <w:b/>
          <w:bCs/>
          <w:rtl/>
        </w:rPr>
        <w:tab/>
        <w:t>ב. דפי חשבון בנק מכל חשבון בנק הרשום על שמם החל מ-7/23  ועד למועד הגשת התצהיר.</w:t>
      </w:r>
    </w:p>
    <w:p w:rsidR="00234CCD" w:rsidRDefault="00234CCD" w:rsidP="00B9319F">
      <w:pPr>
        <w:spacing w:after="120" w:line="360" w:lineRule="auto"/>
        <w:ind w:left="1219" w:right="709" w:hanging="720"/>
        <w:jc w:val="both"/>
        <w:rPr>
          <w:b/>
          <w:bCs/>
          <w:rtl/>
        </w:rPr>
      </w:pPr>
      <w:r>
        <w:rPr>
          <w:b/>
          <w:bCs/>
          <w:rtl/>
        </w:rPr>
        <w:tab/>
        <w:t xml:space="preserve">2. הנתבעת תשלים בתוך  10 ימים תצהירה הרכושי ותגבה אותו במסמכים  לגבי גובה זכויות וחסכונות. </w:t>
      </w:r>
    </w:p>
    <w:p w:rsidR="00234CCD" w:rsidRDefault="00234CCD" w:rsidP="00B9319F">
      <w:pPr>
        <w:spacing w:after="120" w:line="360" w:lineRule="auto"/>
        <w:ind w:left="1219" w:right="709" w:hanging="720"/>
        <w:jc w:val="both"/>
        <w:rPr>
          <w:b/>
          <w:bCs/>
          <w:rtl/>
        </w:rPr>
      </w:pPr>
      <w:r>
        <w:rPr>
          <w:b/>
          <w:bCs/>
          <w:rtl/>
        </w:rPr>
        <w:tab/>
        <w:t xml:space="preserve">3. ככל שמי מהצדדים מבקש גילוי מסמכים נוסף, רשאי להגיש בקשה מתאימה. </w:t>
      </w:r>
      <w:r>
        <w:rPr>
          <w:b/>
          <w:bCs/>
          <w:rtl/>
        </w:rPr>
        <w:tab/>
        <w:t>קודם להגשת הבקשה יפנה לצד שכנגד לקבל המסמכים ו/או עמדתו לבקשה.</w:t>
      </w:r>
    </w:p>
    <w:p w:rsidR="00234CCD" w:rsidRDefault="00234CCD" w:rsidP="00B9319F">
      <w:pPr>
        <w:spacing w:after="120" w:line="360" w:lineRule="auto"/>
        <w:ind w:left="1219" w:right="709" w:hanging="720"/>
        <w:jc w:val="both"/>
        <w:rPr>
          <w:b/>
          <w:bCs/>
          <w:rtl/>
        </w:rPr>
      </w:pPr>
      <w:r>
        <w:rPr>
          <w:b/>
          <w:bCs/>
          <w:rtl/>
        </w:rPr>
        <w:tab/>
        <w:t xml:space="preserve">4. לבקשת התובע – בשלב זה, יהא רשאי לפנות לרשמת הוצל"פ לצורך הגשת בקשותיו בעניין ניהול תיק ההוצל"פ. </w:t>
      </w:r>
    </w:p>
    <w:p w:rsidR="00234CCD" w:rsidRDefault="00234CCD" w:rsidP="00B9319F">
      <w:pPr>
        <w:spacing w:after="120" w:line="360" w:lineRule="auto"/>
        <w:ind w:left="1219" w:right="709" w:hanging="720"/>
        <w:jc w:val="both"/>
        <w:rPr>
          <w:b/>
          <w:bCs/>
          <w:rtl/>
        </w:rPr>
      </w:pPr>
      <w:r>
        <w:rPr>
          <w:b/>
          <w:bCs/>
          <w:rtl/>
        </w:rPr>
        <w:tab/>
        <w:t xml:space="preserve">5. נוכח מועד דיון ההוכחות שנקבע, הצורך לברר את מצבת הנכסים והמצב הכלכלי של כל אחד מהצדדים לעומק, לקבל השלמת הנתונים הנדרשים לצורך כך – לא מצאתי כי יש מקום בשלב זה לשוב ולדון בבקשה למתן החלטה זמנית. פסה"ד יינתן בהקדם האפשרי , מיד לאחר הליך השמיעה ועל מנת שניתן יהיה לבסס ההחלטה בענין המזונות". </w:t>
      </w:r>
    </w:p>
    <w:p w:rsidR="00234CCD" w:rsidRDefault="00234CCD" w:rsidP="00B9319F">
      <w:pPr>
        <w:spacing w:after="120" w:line="360" w:lineRule="auto"/>
        <w:ind w:left="720" w:hanging="720"/>
        <w:jc w:val="both"/>
        <w:rPr>
          <w:rFonts w:ascii="Arial" w:hAnsi="Arial"/>
          <w:noProof w:val="0"/>
          <w:rtl/>
        </w:rPr>
      </w:pPr>
      <w:r>
        <w:rPr>
          <w:rFonts w:ascii="Arial" w:hAnsi="Arial"/>
          <w:noProof w:val="0"/>
          <w:rtl/>
        </w:rPr>
        <w:tab/>
        <w:t>בגין החלטה זו הוגשה בקשת רשות הערעור דנן.</w:t>
      </w:r>
    </w:p>
    <w:p w:rsidR="00234CCD" w:rsidRDefault="00234CCD" w:rsidP="00B9319F">
      <w:pPr>
        <w:spacing w:after="120" w:line="360" w:lineRule="auto"/>
        <w:jc w:val="both"/>
        <w:rPr>
          <w:rFonts w:ascii="Arial" w:hAnsi="Arial"/>
          <w:noProof w:val="0"/>
          <w:rtl/>
        </w:rPr>
      </w:pPr>
      <w:r>
        <w:rPr>
          <w:rFonts w:ascii="Arial" w:hAnsi="Arial"/>
          <w:noProof w:val="0"/>
          <w:rtl/>
        </w:rPr>
        <w:tab/>
      </w:r>
      <w:r>
        <w:rPr>
          <w:rFonts w:ascii="Arial" w:hAnsi="Arial"/>
          <w:noProof w:val="0"/>
          <w:rtl/>
        </w:rPr>
        <w:tab/>
      </w:r>
    </w:p>
    <w:p w:rsidR="00234CCD" w:rsidRDefault="00234CCD" w:rsidP="00B9319F">
      <w:pPr>
        <w:spacing w:after="120" w:line="360" w:lineRule="auto"/>
        <w:jc w:val="both"/>
        <w:rPr>
          <w:rFonts w:ascii="Arial" w:hAnsi="Arial"/>
          <w:noProof w:val="0"/>
          <w:rtl/>
        </w:rPr>
      </w:pPr>
    </w:p>
    <w:p w:rsidR="00234CCD" w:rsidRDefault="00234CCD" w:rsidP="00B9319F">
      <w:pPr>
        <w:spacing w:after="120" w:line="360" w:lineRule="auto"/>
        <w:jc w:val="both"/>
        <w:rPr>
          <w:rFonts w:ascii="Arial" w:hAnsi="Arial"/>
          <w:noProof w:val="0"/>
          <w:rtl/>
        </w:rPr>
      </w:pPr>
    </w:p>
    <w:p w:rsidR="00234CCD" w:rsidRDefault="00234CCD" w:rsidP="00B9319F">
      <w:pPr>
        <w:spacing w:after="120" w:line="360" w:lineRule="auto"/>
        <w:ind w:left="720" w:hanging="720"/>
        <w:jc w:val="both"/>
        <w:rPr>
          <w:rFonts w:ascii="David" w:hAnsi="David"/>
          <w:rtl/>
        </w:rPr>
      </w:pPr>
      <w:r>
        <w:rPr>
          <w:rFonts w:ascii="David" w:hAnsi="David"/>
          <w:b/>
          <w:bCs/>
          <w:u w:val="single"/>
          <w:rtl/>
        </w:rPr>
        <w:lastRenderedPageBreak/>
        <w:t>טענות המבקש בבקשת רשות הערעור</w:t>
      </w:r>
    </w:p>
    <w:p w:rsidR="00234CCD" w:rsidRDefault="00234CCD" w:rsidP="00B9319F">
      <w:pPr>
        <w:spacing w:after="120" w:line="360" w:lineRule="auto"/>
        <w:ind w:left="720" w:hanging="720"/>
        <w:jc w:val="both"/>
        <w:rPr>
          <w:rFonts w:ascii="David" w:hAnsi="David"/>
          <w:rtl/>
        </w:rPr>
      </w:pPr>
      <w:r>
        <w:rPr>
          <w:rFonts w:ascii="David" w:hAnsi="David"/>
          <w:rtl/>
        </w:rPr>
        <w:t>16.</w:t>
      </w:r>
      <w:r>
        <w:rPr>
          <w:rFonts w:ascii="David" w:hAnsi="David"/>
          <w:rtl/>
        </w:rPr>
        <w:tab/>
      </w:r>
      <w:r>
        <w:rPr>
          <w:rFonts w:ascii="David" w:hAnsi="David"/>
          <w:u w:val="single"/>
          <w:rtl/>
        </w:rPr>
        <w:t>להלן תמצית טענות המבקש</w:t>
      </w:r>
      <w:r>
        <w:rPr>
          <w:rFonts w:ascii="David" w:hAnsi="David"/>
          <w:rtl/>
        </w:rPr>
        <w:t>:</w:t>
      </w:r>
    </w:p>
    <w:p w:rsidR="00234CCD" w:rsidRDefault="00234CCD" w:rsidP="00B9319F">
      <w:pPr>
        <w:spacing w:after="120" w:line="360" w:lineRule="auto"/>
        <w:ind w:left="1440" w:hanging="720"/>
        <w:jc w:val="both"/>
        <w:rPr>
          <w:rFonts w:ascii="David" w:hAnsi="David"/>
          <w:rtl/>
        </w:rPr>
      </w:pPr>
      <w:r>
        <w:rPr>
          <w:rFonts w:ascii="David" w:hAnsi="David"/>
          <w:rtl/>
        </w:rPr>
        <w:t>א.</w:t>
      </w:r>
      <w:r>
        <w:rPr>
          <w:rFonts w:ascii="David" w:hAnsi="David"/>
          <w:rtl/>
        </w:rPr>
        <w:tab/>
        <w:t>בית משפט קמא לא דן וממילא לא הכריע בבקשת המבקש קמא, על אף שטענות המבקש לשינוי נסיבות מהותי מבוססות על עובדות הגלויות לבית משפט קמא כבר בשלב זה, לרבות עלייה בשכר המשיבה, עלייה בהכנסתה הפנויה והגידול בשווי נכסיה. טעה בית המשפט קמא עת קבע כי לא הוכח שינוי נסיבות, מבלי להתייחס לטענות המבקש.</w:t>
      </w:r>
    </w:p>
    <w:p w:rsidR="00234CCD" w:rsidRDefault="00234CCD" w:rsidP="00B9319F">
      <w:pPr>
        <w:spacing w:after="120" w:line="360" w:lineRule="auto"/>
        <w:ind w:left="1440" w:hanging="720"/>
        <w:jc w:val="both"/>
        <w:rPr>
          <w:rFonts w:ascii="David" w:hAnsi="David"/>
          <w:rtl/>
        </w:rPr>
      </w:pPr>
      <w:r>
        <w:rPr>
          <w:rFonts w:ascii="David" w:hAnsi="David"/>
          <w:rtl/>
        </w:rPr>
        <w:t>ב.</w:t>
      </w:r>
      <w:r>
        <w:rPr>
          <w:rFonts w:ascii="David" w:hAnsi="David"/>
          <w:rtl/>
        </w:rPr>
        <w:tab/>
        <w:t>הותרת המצב הנוכחי על כנו יוצרת מצב לא סביר בו הקטינות נ</w:t>
      </w:r>
      <w:r w:rsidR="006570F5">
        <w:rPr>
          <w:rFonts w:ascii="David" w:hAnsi="David"/>
          <w:rtl/>
        </w:rPr>
        <w:t>הנות משפע בבית המשיבה, וחוות מח</w:t>
      </w:r>
      <w:r w:rsidR="006570F5">
        <w:rPr>
          <w:rFonts w:ascii="David" w:hAnsi="David" w:hint="cs"/>
          <w:rtl/>
        </w:rPr>
        <w:t>ס</w:t>
      </w:r>
      <w:r>
        <w:rPr>
          <w:rFonts w:ascii="David" w:hAnsi="David"/>
          <w:rtl/>
        </w:rPr>
        <w:t xml:space="preserve">ור בבית המבקש, באופן הפוגע בטובתן של הקטינות וברווחתן בזמני השהות שלהם עם המבקש. </w:t>
      </w:r>
    </w:p>
    <w:p w:rsidR="00234CCD" w:rsidRDefault="00234CCD" w:rsidP="006570F5">
      <w:pPr>
        <w:spacing w:after="120" w:line="360" w:lineRule="auto"/>
        <w:ind w:left="1440" w:hanging="720"/>
        <w:jc w:val="both"/>
        <w:rPr>
          <w:rFonts w:ascii="David" w:hAnsi="David"/>
          <w:rtl/>
        </w:rPr>
      </w:pPr>
      <w:r>
        <w:rPr>
          <w:rFonts w:ascii="David" w:hAnsi="David"/>
          <w:rtl/>
        </w:rPr>
        <w:t>ג.</w:t>
      </w:r>
      <w:r>
        <w:rPr>
          <w:rFonts w:ascii="David" w:hAnsi="David"/>
          <w:rtl/>
        </w:rPr>
        <w:tab/>
        <w:t>לאור שינוי הנסיבות המהותי במצ</w:t>
      </w:r>
      <w:r w:rsidR="006570F5">
        <w:rPr>
          <w:rFonts w:ascii="David" w:hAnsi="David" w:hint="cs"/>
          <w:rtl/>
        </w:rPr>
        <w:t>ב</w:t>
      </w:r>
      <w:r>
        <w:rPr>
          <w:rFonts w:ascii="David" w:hAnsi="David"/>
          <w:rtl/>
        </w:rPr>
        <w:t xml:space="preserve"> הכלכלי של משיבה, נשיאתו הישירה בכלכלת הקטינות 43% מהזמן וקשייו לספק לקטינות צרכים בסיסיים עקב תשלום מזונות למשיבה, ברי כי לא יהיה זה </w:t>
      </w:r>
      <w:r w:rsidR="006570F5">
        <w:rPr>
          <w:rFonts w:ascii="David" w:hAnsi="David"/>
          <w:rtl/>
        </w:rPr>
        <w:t>צודק להותיר את פסק הדין קמא בתו</w:t>
      </w:r>
      <w:r w:rsidR="006570F5">
        <w:rPr>
          <w:rFonts w:ascii="David" w:hAnsi="David" w:hint="cs"/>
          <w:rtl/>
        </w:rPr>
        <w:t>ב</w:t>
      </w:r>
      <w:r>
        <w:rPr>
          <w:rFonts w:ascii="David" w:hAnsi="David"/>
          <w:rtl/>
        </w:rPr>
        <w:t xml:space="preserve">ענה הקודמת להפחתה על כנו. היה על בית משפט קמא לקבל את הבקשה למזונות זמניים כפי שהוגשה, או לכל הפחות להקפיא את חיוב המבקש בתשלום דמי מזונות לידי המשיבה, שעה שאין כל הצדקה לכך, והמשך התשלום פוגע בטובת הקטינות. </w:t>
      </w:r>
    </w:p>
    <w:p w:rsidR="00234CCD" w:rsidRDefault="00234CCD" w:rsidP="00B9319F">
      <w:pPr>
        <w:spacing w:after="120" w:line="360" w:lineRule="auto"/>
        <w:ind w:left="1440" w:hanging="720"/>
        <w:jc w:val="both"/>
        <w:rPr>
          <w:rFonts w:ascii="David" w:hAnsi="David"/>
          <w:rtl/>
        </w:rPr>
      </w:pPr>
      <w:r>
        <w:rPr>
          <w:rFonts w:ascii="David" w:hAnsi="David"/>
          <w:rtl/>
        </w:rPr>
        <w:t>ד.</w:t>
      </w:r>
      <w:r>
        <w:rPr>
          <w:rFonts w:ascii="David" w:hAnsi="David"/>
          <w:rtl/>
        </w:rPr>
        <w:tab/>
        <w:t xml:space="preserve">טעה בית משפט קמא כשקבע בסעיף 5 להחלטה קמא כי אינו רואה צורך לדון שוב בבקשה למזונות זמניים – כאשר לא דן בה מלכתחילה, אלא רק קבע כי טענות המבקש טעונות הוכחה ותתבררנה במהלך ההליך המשפטי, וכי לא ניתן להכריע בטענות אלה טרם התקיים דיון ענייני ומעמיק. </w:t>
      </w:r>
    </w:p>
    <w:p w:rsidR="00234CCD" w:rsidRDefault="00234CCD" w:rsidP="00B9319F">
      <w:pPr>
        <w:spacing w:after="120" w:line="360" w:lineRule="auto"/>
        <w:ind w:left="1440" w:hanging="720"/>
        <w:jc w:val="both"/>
        <w:rPr>
          <w:rFonts w:ascii="David" w:hAnsi="David"/>
          <w:rtl/>
        </w:rPr>
      </w:pPr>
      <w:r>
        <w:rPr>
          <w:rFonts w:ascii="David" w:hAnsi="David"/>
          <w:rtl/>
        </w:rPr>
        <w:t>ה.</w:t>
      </w:r>
      <w:r>
        <w:rPr>
          <w:rFonts w:ascii="David" w:hAnsi="David"/>
          <w:rtl/>
        </w:rPr>
        <w:tab/>
        <w:t xml:space="preserve">טעה בית משפט קמא עת קבע כי יש להשלים נתונים נוספים כדי לברר לעומק את מצבת נכסי הצדדים בטרם יכריע בבקשה קמא. המבקש יטען כי השלים את כל המסמכים שנדרש להשלים כולל נתוני הכנסותיו משנת 2018 ותצהיר מפורט. אף המשיבה השלימה מסמכים בהתאם להחלטת בית משפט קמא, אולם נמנעה מלפרט את זכויותיה הסוציאליות וחסכונותיה, בחוסר תום לב, ואף סרבה למתן צו הסרת חסיון גורף שאינו מוגבל בזמן (שהמבקש הסכים לו). לאור הימנעות המשיבה מגילוי נתונים על אודות מצבה הכלכלי המלא, היה על בית משפט קמא לקבוע כי גם נתונים אלה לו היו נחשפים, היו מחזקים את טענת המבקש כי חל שיפור משמעותי במצה הכלכלי. אין כל הצדקה לעכב דיון בבקשה קמא עקב מחדליה של המשיבה בחוסר תום לב. </w:t>
      </w:r>
    </w:p>
    <w:p w:rsidR="00234CCD" w:rsidRDefault="00234CCD" w:rsidP="00B9319F">
      <w:pPr>
        <w:spacing w:after="120" w:line="360" w:lineRule="auto"/>
        <w:ind w:left="1440" w:hanging="720"/>
        <w:jc w:val="both"/>
        <w:rPr>
          <w:rFonts w:ascii="David" w:hAnsi="David"/>
          <w:rtl/>
        </w:rPr>
      </w:pPr>
      <w:r>
        <w:rPr>
          <w:rFonts w:ascii="David" w:hAnsi="David"/>
          <w:rtl/>
        </w:rPr>
        <w:t xml:space="preserve"> </w:t>
      </w:r>
    </w:p>
    <w:p w:rsidR="00234CCD" w:rsidRDefault="00234CCD" w:rsidP="00B9319F">
      <w:pPr>
        <w:spacing w:after="120" w:line="360" w:lineRule="auto"/>
        <w:ind w:left="1440" w:hanging="720"/>
        <w:jc w:val="both"/>
        <w:rPr>
          <w:rFonts w:ascii="David" w:hAnsi="David"/>
          <w:rtl/>
        </w:rPr>
      </w:pPr>
    </w:p>
    <w:p w:rsidR="00234CCD" w:rsidRDefault="00234CCD" w:rsidP="00B9319F">
      <w:pPr>
        <w:spacing w:after="120" w:line="360" w:lineRule="auto"/>
        <w:ind w:left="1440" w:hanging="720"/>
        <w:jc w:val="both"/>
        <w:rPr>
          <w:rFonts w:ascii="David" w:hAnsi="David"/>
          <w:rtl/>
        </w:rPr>
      </w:pPr>
    </w:p>
    <w:p w:rsidR="00234CCD" w:rsidRDefault="00234CCD" w:rsidP="00B9319F">
      <w:pPr>
        <w:spacing w:after="120" w:line="360" w:lineRule="auto"/>
        <w:ind w:left="720" w:hanging="720"/>
        <w:jc w:val="both"/>
        <w:rPr>
          <w:rFonts w:ascii="David" w:hAnsi="David"/>
          <w:b/>
          <w:bCs/>
          <w:u w:val="single"/>
          <w:rtl/>
        </w:rPr>
      </w:pPr>
      <w:r>
        <w:rPr>
          <w:rFonts w:ascii="David" w:hAnsi="David"/>
          <w:b/>
          <w:bCs/>
          <w:u w:val="single"/>
          <w:rtl/>
        </w:rPr>
        <w:lastRenderedPageBreak/>
        <w:t>דיון והכרעה</w:t>
      </w:r>
    </w:p>
    <w:p w:rsidR="00234CCD" w:rsidRDefault="00234CCD" w:rsidP="00B9319F">
      <w:pPr>
        <w:spacing w:after="120" w:line="360" w:lineRule="auto"/>
        <w:ind w:left="720" w:hanging="720"/>
        <w:jc w:val="both"/>
        <w:rPr>
          <w:rFonts w:ascii="David" w:hAnsi="David"/>
          <w:b/>
          <w:bCs/>
          <w:rtl/>
        </w:rPr>
      </w:pPr>
      <w:r>
        <w:rPr>
          <w:rFonts w:ascii="David" w:hAnsi="David"/>
          <w:rtl/>
        </w:rPr>
        <w:t>17.</w:t>
      </w:r>
      <w:r>
        <w:rPr>
          <w:rFonts w:ascii="David" w:hAnsi="David"/>
          <w:rtl/>
        </w:rPr>
        <w:tab/>
      </w:r>
      <w:r>
        <w:rPr>
          <w:rFonts w:ascii="David" w:hAnsi="David"/>
          <w:b/>
          <w:bCs/>
          <w:rtl/>
        </w:rPr>
        <w:t>לאחר עיון בבקשת רשות הערעור על נספחיה ובתיק קמא שוכנעתי לדחות הערעור אף ללא צורך בתשובה, מכח סמכותי על פי תקנות 138(א)(2) + (5) לתקנות.</w:t>
      </w:r>
    </w:p>
    <w:p w:rsidR="00234CCD" w:rsidRDefault="00234CCD" w:rsidP="00B9319F">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234CCD" w:rsidRDefault="00234CCD" w:rsidP="00B9319F">
      <w:pPr>
        <w:spacing w:after="120" w:line="360" w:lineRule="auto"/>
        <w:ind w:left="720" w:hanging="720"/>
        <w:jc w:val="both"/>
        <w:rPr>
          <w:rFonts w:ascii="David" w:hAnsi="David"/>
          <w:noProof w:val="0"/>
          <w:rtl/>
        </w:rPr>
      </w:pPr>
      <w:r>
        <w:rPr>
          <w:rFonts w:ascii="Arial" w:hAnsi="Arial"/>
          <w:noProof w:val="0"/>
          <w:rtl/>
        </w:rPr>
        <w:t>18.</w:t>
      </w:r>
      <w:r>
        <w:rPr>
          <w:rFonts w:ascii="Arial" w:hAnsi="Arial"/>
          <w:noProof w:val="0"/>
          <w:rtl/>
        </w:rPr>
        <w:tab/>
      </w:r>
      <w:r>
        <w:rPr>
          <w:rFonts w:ascii="Arial" w:hAnsi="Arial"/>
          <w:rtl/>
        </w:rPr>
        <w:t>עסקינן בהחלטה זמנית של בית משפט קמא, העוסקת במזונות זמניים.</w:t>
      </w:r>
    </w:p>
    <w:p w:rsidR="00234CCD" w:rsidRDefault="00234CCD" w:rsidP="00B9319F">
      <w:pPr>
        <w:spacing w:after="120" w:line="360" w:lineRule="auto"/>
        <w:ind w:left="720"/>
        <w:jc w:val="both"/>
        <w:rPr>
          <w:rFonts w:ascii="Arial" w:hAnsi="Arial"/>
          <w:rtl/>
        </w:rPr>
      </w:pPr>
      <w:r>
        <w:rPr>
          <w:rFonts w:ascii="Arial" w:hAnsi="Arial"/>
          <w:rtl/>
        </w:rPr>
        <w:t xml:space="preserve">הלכה פסוקה היא לענין מידת ההתערבות המצומצמת של ערכאת הערעור בהחלטת מזונות זמניים, על-פיה רוחב שיקול הדעת המוענק לבית המשפט לענייני משפחה, בבואו לקבוע מזונות זמניים, עומד ביחס הפוך לצמצום שיקול הדעת של ערכאת הערעור. </w:t>
      </w:r>
    </w:p>
    <w:p w:rsidR="00234CCD" w:rsidRDefault="00234CCD" w:rsidP="00B9319F">
      <w:pPr>
        <w:spacing w:after="120" w:line="360" w:lineRule="auto"/>
        <w:ind w:left="720"/>
        <w:jc w:val="both"/>
        <w:rPr>
          <w:rFonts w:ascii="Arial" w:hAnsi="Arial"/>
          <w:rtl/>
        </w:rPr>
      </w:pPr>
      <w:r>
        <w:rPr>
          <w:rFonts w:ascii="Arial" w:hAnsi="Arial"/>
          <w:u w:val="single"/>
          <w:rtl/>
        </w:rPr>
        <w:t>ראו לעניין זה</w:t>
      </w:r>
      <w:r>
        <w:rPr>
          <w:rFonts w:ascii="Arial" w:hAnsi="Arial"/>
          <w:rtl/>
        </w:rPr>
        <w:t>:</w:t>
      </w:r>
    </w:p>
    <w:p w:rsidR="00234CCD" w:rsidRDefault="00234CCD" w:rsidP="00B9319F">
      <w:pPr>
        <w:spacing w:after="120" w:line="360" w:lineRule="auto"/>
        <w:ind w:left="720"/>
        <w:jc w:val="both"/>
        <w:rPr>
          <w:rFonts w:ascii="Arial" w:hAnsi="Arial"/>
          <w:rtl/>
        </w:rPr>
      </w:pPr>
      <w:r>
        <w:rPr>
          <w:rFonts w:ascii="Arial" w:hAnsi="Arial"/>
          <w:rtl/>
        </w:rPr>
        <w:t xml:space="preserve">בע"מ 1168/22 </w:t>
      </w:r>
      <w:r>
        <w:rPr>
          <w:rFonts w:ascii="Arial" w:hAnsi="Arial"/>
          <w:b/>
          <w:bCs/>
          <w:rtl/>
        </w:rPr>
        <w:t>‏ ‏פלוני נ' פלונית</w:t>
      </w:r>
      <w:r>
        <w:rPr>
          <w:rFonts w:ascii="Arial" w:hAnsi="Arial"/>
          <w:rtl/>
        </w:rPr>
        <w:t xml:space="preserve"> (28.2.2022), פסקה 8 והפסיקה שם;</w:t>
      </w:r>
    </w:p>
    <w:p w:rsidR="00234CCD" w:rsidRDefault="00234CCD" w:rsidP="00B9319F">
      <w:pPr>
        <w:spacing w:after="120" w:line="360" w:lineRule="auto"/>
        <w:ind w:left="720"/>
        <w:jc w:val="both"/>
        <w:rPr>
          <w:rFonts w:ascii="Arial" w:hAnsi="Arial"/>
          <w:rtl/>
        </w:rPr>
      </w:pPr>
      <w:r>
        <w:rPr>
          <w:rFonts w:ascii="Arial" w:hAnsi="Arial"/>
          <w:rtl/>
        </w:rPr>
        <w:t xml:space="preserve">בע"מ 8925/21 ‏ </w:t>
      </w:r>
      <w:r>
        <w:rPr>
          <w:rFonts w:ascii="Arial" w:hAnsi="Arial"/>
          <w:b/>
          <w:bCs/>
          <w:rtl/>
        </w:rPr>
        <w:t>פלוני נ' פלונית</w:t>
      </w:r>
      <w:r>
        <w:rPr>
          <w:rFonts w:ascii="Arial" w:hAnsi="Arial"/>
          <w:rtl/>
        </w:rPr>
        <w:t xml:space="preserve"> (7.2.2022), פסקה 8.</w:t>
      </w:r>
    </w:p>
    <w:p w:rsidR="00234CCD" w:rsidRDefault="00234CCD" w:rsidP="00B9319F">
      <w:pPr>
        <w:spacing w:after="120" w:line="360" w:lineRule="auto"/>
        <w:ind w:left="720" w:hanging="720"/>
        <w:jc w:val="both"/>
        <w:rPr>
          <w:rFonts w:ascii="Arial" w:hAnsi="Arial"/>
          <w:rtl/>
        </w:rPr>
      </w:pPr>
      <w:r>
        <w:rPr>
          <w:rFonts w:ascii="Arial" w:hAnsi="Arial"/>
          <w:rtl/>
        </w:rPr>
        <w:t>19.</w:t>
      </w:r>
      <w:r>
        <w:rPr>
          <w:rFonts w:ascii="Arial" w:hAnsi="Arial"/>
          <w:rtl/>
        </w:rPr>
        <w:tab/>
        <w:t xml:space="preserve">ההכרעה של בית המשפט לענייני משפחה על אודות מזונות זמניים, חייבת להיות מהירה, עניינית, ומטבעה נשענת על תמונה חלקית. </w:t>
      </w:r>
    </w:p>
    <w:p w:rsidR="00234CCD" w:rsidRDefault="00234CCD" w:rsidP="00B9319F">
      <w:pPr>
        <w:spacing w:after="120" w:line="360" w:lineRule="auto"/>
        <w:ind w:left="720" w:hanging="720"/>
        <w:jc w:val="both"/>
        <w:rPr>
          <w:rFonts w:ascii="Arial" w:hAnsi="Arial"/>
          <w:rtl/>
        </w:rPr>
      </w:pPr>
      <w:r>
        <w:rPr>
          <w:rFonts w:ascii="Arial" w:hAnsi="Arial"/>
          <w:rtl/>
        </w:rPr>
        <w:tab/>
        <w:t xml:space="preserve">התוצאה היא, כי קביעת בית המשפט קמא בנושא מזונות זמניים ניזונה מממצאים עובדתיים חלקיים. הגבלה זו תורמת לריסון שעל ערכאת הערעור לנקוט בבואה לבקר החלטת הערכאה המבררת. </w:t>
      </w:r>
    </w:p>
    <w:p w:rsidR="00234CCD" w:rsidRDefault="00234CCD" w:rsidP="00B9319F">
      <w:pPr>
        <w:spacing w:after="120" w:line="360" w:lineRule="auto"/>
        <w:ind w:left="720" w:hanging="720"/>
        <w:jc w:val="both"/>
        <w:rPr>
          <w:rFonts w:ascii="Arial" w:hAnsi="Arial"/>
          <w:rtl/>
        </w:rPr>
      </w:pPr>
      <w:r>
        <w:rPr>
          <w:rFonts w:ascii="Arial" w:hAnsi="Arial"/>
          <w:rtl/>
        </w:rPr>
        <w:tab/>
        <w:t>בכל מקרה, החלטת מזונות זמניים אינה סופית. ככל שיתברר לאחר שמיעת ראיות שנפלה טעות בקביעת המזונות הזמניים, ניתן לשנות זאת לעבר ולעתיד.</w:t>
      </w:r>
    </w:p>
    <w:p w:rsidR="00234CCD" w:rsidRDefault="00234CCD" w:rsidP="00B9319F">
      <w:pPr>
        <w:spacing w:after="120" w:line="360" w:lineRule="auto"/>
        <w:ind w:left="720"/>
        <w:jc w:val="both"/>
        <w:rPr>
          <w:rFonts w:ascii="Arial" w:hAnsi="Arial"/>
        </w:rPr>
      </w:pPr>
      <w:r>
        <w:rPr>
          <w:rFonts w:ascii="Arial" w:hAnsi="Arial"/>
          <w:rtl/>
        </w:rPr>
        <w:t>חרף העובדה שפסיקתה של הערכאה הדיונית בנושא מזונות זמניים אינה חסינה מפני התערבות ערעורית, שומה על ערכאת הערעור להימנע מהתערבות בקביעתם של בתי המשפט לענייני משפחה בדבר שיעור המזונות הזמניים, אלא אם כן מדובר במקרה חריג ויוצא דופן.</w:t>
      </w:r>
    </w:p>
    <w:p w:rsidR="00234CCD" w:rsidRDefault="00234CCD" w:rsidP="00B9319F">
      <w:pPr>
        <w:spacing w:after="120" w:line="360" w:lineRule="auto"/>
        <w:ind w:left="720" w:hanging="720"/>
        <w:rPr>
          <w:rFonts w:ascii="Arial" w:hAnsi="Arial"/>
          <w:rtl/>
        </w:rPr>
      </w:pPr>
      <w:r>
        <w:rPr>
          <w:rFonts w:ascii="Arial" w:hAnsi="Arial"/>
          <w:rtl/>
        </w:rPr>
        <w:tab/>
      </w:r>
      <w:r>
        <w:rPr>
          <w:rFonts w:ascii="Arial" w:hAnsi="Arial"/>
          <w:u w:val="single"/>
          <w:rtl/>
        </w:rPr>
        <w:t>לעניין זה ראה</w:t>
      </w:r>
      <w:r>
        <w:rPr>
          <w:rFonts w:ascii="Arial" w:hAnsi="Arial"/>
          <w:rtl/>
        </w:rPr>
        <w:t xml:space="preserve">: </w:t>
      </w:r>
    </w:p>
    <w:p w:rsidR="00234CCD" w:rsidRDefault="00234CCD" w:rsidP="00B9319F">
      <w:pPr>
        <w:spacing w:after="120" w:line="360" w:lineRule="auto"/>
        <w:ind w:left="720"/>
        <w:rPr>
          <w:rFonts w:ascii="Arial" w:hAnsi="Arial"/>
          <w:rtl/>
        </w:rPr>
      </w:pPr>
      <w:r>
        <w:rPr>
          <w:rFonts w:ascii="Arial" w:hAnsi="Arial"/>
          <w:rtl/>
        </w:rPr>
        <w:t xml:space="preserve">בע"מ 1078/11 </w:t>
      </w:r>
      <w:r>
        <w:rPr>
          <w:rFonts w:ascii="Arial" w:hAnsi="Arial"/>
          <w:b/>
          <w:bCs/>
          <w:rtl/>
        </w:rPr>
        <w:t>פלוני נ' פלוני</w:t>
      </w:r>
      <w:r>
        <w:rPr>
          <w:rFonts w:ascii="Arial" w:hAnsi="Arial"/>
          <w:rtl/>
        </w:rPr>
        <w:t xml:space="preserve"> (ניתן ביום 27.4.11).</w:t>
      </w:r>
    </w:p>
    <w:p w:rsidR="00234CCD" w:rsidRDefault="00234CCD" w:rsidP="00B9319F">
      <w:pPr>
        <w:spacing w:after="120" w:line="360" w:lineRule="auto"/>
        <w:ind w:left="720"/>
        <w:rPr>
          <w:rFonts w:ascii="Arial" w:hAnsi="Arial"/>
          <w:rtl/>
        </w:rPr>
      </w:pPr>
      <w:r>
        <w:rPr>
          <w:rFonts w:ascii="Arial" w:hAnsi="Arial"/>
          <w:rtl/>
        </w:rPr>
        <w:t xml:space="preserve">בע"מ 1326/12 </w:t>
      </w:r>
      <w:r>
        <w:rPr>
          <w:rFonts w:ascii="Arial" w:hAnsi="Arial"/>
          <w:b/>
          <w:bCs/>
          <w:rtl/>
        </w:rPr>
        <w:t>פלוני נ' פלונית</w:t>
      </w:r>
      <w:r>
        <w:rPr>
          <w:rFonts w:ascii="Arial" w:hAnsi="Arial"/>
          <w:rtl/>
        </w:rPr>
        <w:t xml:space="preserve"> (ניתן ביום 28.3.12).</w:t>
      </w:r>
    </w:p>
    <w:p w:rsidR="00234CCD" w:rsidRDefault="00234CCD" w:rsidP="00B9319F">
      <w:pPr>
        <w:spacing w:after="120" w:line="360" w:lineRule="auto"/>
        <w:ind w:firstLine="720"/>
        <w:jc w:val="both"/>
        <w:rPr>
          <w:rFonts w:ascii="David" w:hAnsi="David"/>
          <w:noProof w:val="0"/>
          <w:rtl/>
        </w:rPr>
      </w:pPr>
      <w:r>
        <w:rPr>
          <w:rFonts w:ascii="David" w:hAnsi="David"/>
          <w:rtl/>
        </w:rPr>
        <w:t xml:space="preserve">רמ"ש (חי') 34826-10-18 </w:t>
      </w:r>
      <w:r>
        <w:rPr>
          <w:rFonts w:ascii="David" w:hAnsi="David"/>
          <w:b/>
          <w:bCs/>
          <w:rtl/>
        </w:rPr>
        <w:t>פלוני נ' אלמונית</w:t>
      </w:r>
      <w:r>
        <w:rPr>
          <w:rFonts w:ascii="David" w:hAnsi="David"/>
          <w:noProof w:val="0"/>
          <w:rtl/>
        </w:rPr>
        <w:t xml:space="preserve"> (ניתן ביום 17.10.18).</w:t>
      </w:r>
    </w:p>
    <w:p w:rsidR="00234CCD" w:rsidRDefault="00234CCD" w:rsidP="00B9319F">
      <w:pPr>
        <w:spacing w:after="120" w:line="360" w:lineRule="auto"/>
        <w:ind w:firstLine="720"/>
        <w:jc w:val="both"/>
        <w:rPr>
          <w:rFonts w:ascii="David" w:hAnsi="David"/>
          <w:noProof w:val="0"/>
          <w:rtl/>
        </w:rPr>
      </w:pPr>
      <w:r>
        <w:rPr>
          <w:rFonts w:ascii="David" w:hAnsi="David"/>
          <w:b/>
          <w:bCs/>
          <w:noProof w:val="0"/>
          <w:rtl/>
        </w:rPr>
        <w:t>לא מצאתי כי המקרה דנן נופל בגדר אותם מקרים חריגים</w:t>
      </w:r>
      <w:r>
        <w:rPr>
          <w:rFonts w:ascii="David" w:hAnsi="David"/>
          <w:noProof w:val="0"/>
          <w:rtl/>
        </w:rPr>
        <w:t>.</w:t>
      </w:r>
    </w:p>
    <w:p w:rsidR="00234CCD" w:rsidRDefault="00234CCD" w:rsidP="00B9319F">
      <w:pPr>
        <w:spacing w:after="120" w:line="360" w:lineRule="auto"/>
        <w:ind w:left="720" w:hanging="720"/>
        <w:jc w:val="both"/>
        <w:rPr>
          <w:rFonts w:ascii="David" w:hAnsi="David"/>
          <w:noProof w:val="0"/>
        </w:rPr>
      </w:pPr>
      <w:r>
        <w:rPr>
          <w:rFonts w:ascii="David" w:hAnsi="David"/>
          <w:noProof w:val="0"/>
          <w:rtl/>
        </w:rPr>
        <w:t>20.</w:t>
      </w:r>
      <w:r>
        <w:rPr>
          <w:rFonts w:ascii="David" w:hAnsi="David"/>
          <w:noProof w:val="0"/>
          <w:rtl/>
        </w:rPr>
        <w:tab/>
        <w:t xml:space="preserve">זאת ועוד – מלשונו של סעיף 52(ב) לחוק בתי המשפט [נוסח משולב] התשמ"ד – 1984, עולה כי ככלל יידונו השגות הצדדים על "החלטות אחרות" (החלטות ביניים) של הערכאה הדיונית במסגרת הערעור על פסק הדין, אלא אם עלה בידי מבקש רשות הערעור, להראות כי דחיית הדיון בהשגה על ההחלטה </w:t>
      </w:r>
      <w:r>
        <w:rPr>
          <w:rFonts w:ascii="David" w:hAnsi="David"/>
          <w:noProof w:val="0"/>
          <w:rtl/>
        </w:rPr>
        <w:lastRenderedPageBreak/>
        <w:t xml:space="preserve">לשלב הערעור על פסק הדין, עלולה להשפיע באופן ממשי על זכויות הצדדים; עלולה לגרום לנזק של ממש, או עלולה להביא לקיומו של הליך מיותר או שגוי. </w:t>
      </w:r>
    </w:p>
    <w:p w:rsidR="00234CCD" w:rsidRDefault="00234CCD" w:rsidP="00B9319F">
      <w:pPr>
        <w:spacing w:after="120" w:line="360" w:lineRule="auto"/>
        <w:ind w:left="720" w:hanging="720"/>
        <w:jc w:val="both"/>
        <w:rPr>
          <w:rFonts w:ascii="David" w:hAnsi="David"/>
          <w:noProof w:val="0"/>
          <w:rtl/>
        </w:rPr>
      </w:pPr>
      <w:r>
        <w:rPr>
          <w:rFonts w:ascii="David" w:hAnsi="David"/>
          <w:noProof w:val="0"/>
          <w:rtl/>
        </w:rPr>
        <w:t>21.</w:t>
      </w:r>
      <w:r>
        <w:rPr>
          <w:rFonts w:ascii="David" w:hAnsi="David"/>
          <w:noProof w:val="0"/>
          <w:rtl/>
        </w:rPr>
        <w:tab/>
        <w:t>תקנה 150 לתקנות קובעת כי אף אם צד להליך לא ערער על החלטה אחרת עם נתינתה, פתוחה בפניו הדרך להשיג עליה בזכות עם סיום ההליך, במסגרת ערעורו על פסק הדין.</w:t>
      </w:r>
    </w:p>
    <w:p w:rsidR="00234CCD" w:rsidRDefault="00234CCD" w:rsidP="00B9319F">
      <w:pPr>
        <w:spacing w:after="120" w:line="360" w:lineRule="auto"/>
        <w:ind w:left="720" w:hanging="720"/>
        <w:jc w:val="both"/>
        <w:rPr>
          <w:rFonts w:ascii="David" w:hAnsi="David"/>
          <w:noProof w:val="0"/>
          <w:rtl/>
        </w:rPr>
      </w:pPr>
      <w:r>
        <w:rPr>
          <w:rFonts w:ascii="David" w:hAnsi="David"/>
          <w:noProof w:val="0"/>
          <w:rtl/>
        </w:rPr>
        <w:t>22.</w:t>
      </w:r>
      <w:r>
        <w:rPr>
          <w:rFonts w:ascii="David" w:hAnsi="David"/>
          <w:noProof w:val="0"/>
          <w:rtl/>
        </w:rPr>
        <w:tab/>
        <w:t xml:space="preserve">בהלכה הפסוקה יושמה הוראת סעיף 41(ב) לחוק בתי המשפט (שעוסקת ברשות ערעור על החלטת בית המשפט המחוזי המוגשת בפני בית המשפט העליון, אך זהה במתכונתה בכל הנוגע לתנאים הקבועים בהוראות סעיף 52(ב) לחוק, בהם צריך מבקש רשות הערעור לעמוד) באופן שנקבע כי יהיה מקום ליתן רשות ערעור על "החלטה אחרת" רק כאשר בכוחו של המבקש להראות כי הדיון בערעור עליה נחוץ, על אף שההליך העיקרי טרם הגיע לסיומו. </w:t>
      </w:r>
    </w:p>
    <w:p w:rsidR="00234CCD" w:rsidRDefault="00234CCD" w:rsidP="00B9319F">
      <w:pPr>
        <w:spacing w:after="120" w:line="360" w:lineRule="auto"/>
        <w:ind w:left="720" w:hanging="720"/>
        <w:jc w:val="both"/>
        <w:rPr>
          <w:rFonts w:ascii="David" w:hAnsi="David"/>
          <w:noProof w:val="0"/>
          <w:rtl/>
        </w:rPr>
      </w:pPr>
      <w:r>
        <w:rPr>
          <w:rFonts w:ascii="David" w:hAnsi="David"/>
          <w:noProof w:val="0"/>
          <w:rtl/>
        </w:rPr>
        <w:t>23.</w:t>
      </w:r>
      <w:r>
        <w:rPr>
          <w:rFonts w:ascii="David" w:hAnsi="David"/>
          <w:noProof w:val="0"/>
          <w:rtl/>
        </w:rPr>
        <w:tab/>
        <w:t>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מקרים נדירים בהם ניתן לומר מיד כי הערכאה המבררת טעתה טעות ברורה, באופן שנפתח את שערי ערכאת הערעור עוד בטרם ניתן פסק הדין.</w:t>
      </w:r>
    </w:p>
    <w:p w:rsidR="00234CCD" w:rsidRDefault="00234CCD" w:rsidP="00B9319F">
      <w:pPr>
        <w:spacing w:after="120" w:line="360" w:lineRule="auto"/>
        <w:ind w:left="720"/>
        <w:jc w:val="both"/>
        <w:rPr>
          <w:rFonts w:ascii="David" w:hAnsi="David"/>
          <w:noProof w:val="0"/>
          <w:rtl/>
        </w:rPr>
      </w:pPr>
      <w:r>
        <w:rPr>
          <w:rFonts w:ascii="David" w:hAnsi="David"/>
          <w:noProof w:val="0"/>
          <w:u w:val="single"/>
          <w:rtl/>
        </w:rPr>
        <w:t>ראו לעניין זה</w:t>
      </w:r>
      <w:r>
        <w:rPr>
          <w:rFonts w:ascii="David" w:hAnsi="David"/>
          <w:noProof w:val="0"/>
          <w:rtl/>
        </w:rPr>
        <w:t>:</w:t>
      </w:r>
    </w:p>
    <w:p w:rsidR="00234CCD" w:rsidRDefault="00234CCD" w:rsidP="00B9319F">
      <w:pPr>
        <w:spacing w:after="120" w:line="360" w:lineRule="auto"/>
        <w:ind w:left="720"/>
        <w:jc w:val="both"/>
        <w:rPr>
          <w:rFonts w:ascii="David" w:hAnsi="David"/>
          <w:noProof w:val="0"/>
          <w:rtl/>
        </w:rPr>
      </w:pPr>
      <w:r>
        <w:rPr>
          <w:rFonts w:ascii="Calibri" w:hAnsi="Calibri"/>
          <w:noProof w:val="0"/>
          <w:color w:val="000000"/>
          <w:rtl/>
        </w:rPr>
        <w:t xml:space="preserve">רע"א 6523/19 </w:t>
      </w:r>
      <w:r>
        <w:rPr>
          <w:rFonts w:ascii="Calibri" w:hAnsi="Calibri"/>
          <w:b/>
          <w:bCs/>
          <w:noProof w:val="0"/>
          <w:color w:val="000000"/>
          <w:rtl/>
        </w:rPr>
        <w:t>פלוני נ' מגדל חברה לביטוח בע"מ</w:t>
      </w:r>
      <w:r>
        <w:rPr>
          <w:rFonts w:ascii="Calibri" w:hAnsi="Calibri"/>
          <w:noProof w:val="0"/>
          <w:color w:val="000000"/>
          <w:rtl/>
        </w:rPr>
        <w:t>, פסקה 14 (3.2.20) – (אמנם החלטה זאת מתייחסת לסעיף 41(ב) לחוק בתי המשפט, אך ניתן להשליך ממנה על סעיף 52(ב) לחוק בתי המשפט, ועמדנו לעיל על דמיון הוראות שני הסעיפים הנ"ל).</w:t>
      </w:r>
    </w:p>
    <w:p w:rsidR="00234CCD" w:rsidRDefault="00234CCD" w:rsidP="00B9319F">
      <w:pPr>
        <w:spacing w:after="120" w:line="360" w:lineRule="auto"/>
        <w:ind w:left="720"/>
        <w:jc w:val="both"/>
        <w:rPr>
          <w:rFonts w:ascii="David" w:hAnsi="David"/>
          <w:noProof w:val="0"/>
          <w:rtl/>
        </w:rPr>
      </w:pPr>
      <w:r>
        <w:rPr>
          <w:rFonts w:ascii="David" w:hAnsi="David"/>
          <w:noProof w:val="0"/>
          <w:rtl/>
        </w:rPr>
        <w:t xml:space="preserve">רמ"ש (ת"א) 14272-05-17 </w:t>
      </w:r>
      <w:r>
        <w:rPr>
          <w:rFonts w:ascii="David" w:hAnsi="David"/>
          <w:b/>
          <w:bCs/>
          <w:noProof w:val="0"/>
          <w:rtl/>
        </w:rPr>
        <w:t>י.ש נ' כ.ש</w:t>
      </w:r>
      <w:r>
        <w:rPr>
          <w:rFonts w:ascii="David" w:hAnsi="David"/>
          <w:noProof w:val="0"/>
          <w:rtl/>
        </w:rPr>
        <w:t xml:space="preserve"> (החלטתו של כב' השופט שוחט מיום 29/6/17, ובה מסוכמת ההלכה בנדון עם אסמכתאות נוספות).</w:t>
      </w:r>
    </w:p>
    <w:p w:rsidR="00234CCD" w:rsidRDefault="00234CCD" w:rsidP="00B9319F">
      <w:pPr>
        <w:spacing w:after="120" w:line="360" w:lineRule="auto"/>
        <w:ind w:firstLine="720"/>
        <w:jc w:val="both"/>
        <w:rPr>
          <w:rFonts w:ascii="David" w:hAnsi="David"/>
          <w:noProof w:val="0"/>
          <w:rtl/>
        </w:rPr>
      </w:pPr>
      <w:r>
        <w:rPr>
          <w:rFonts w:ascii="David" w:hAnsi="David"/>
          <w:noProof w:val="0"/>
          <w:rtl/>
        </w:rPr>
        <w:t xml:space="preserve">רמ"ש (חי') 59194-10-18 </w:t>
      </w:r>
      <w:r>
        <w:rPr>
          <w:rFonts w:ascii="David" w:hAnsi="David"/>
          <w:b/>
          <w:bCs/>
          <w:noProof w:val="0"/>
          <w:rtl/>
        </w:rPr>
        <w:t>פלונית נ' אלמוני</w:t>
      </w:r>
      <w:r>
        <w:rPr>
          <w:rFonts w:ascii="David" w:hAnsi="David"/>
          <w:noProof w:val="0"/>
          <w:rtl/>
        </w:rPr>
        <w:t xml:space="preserve"> (21.11.2018).</w:t>
      </w:r>
    </w:p>
    <w:p w:rsidR="00234CCD" w:rsidRDefault="00234CCD" w:rsidP="00B9319F">
      <w:pPr>
        <w:spacing w:after="120" w:line="360" w:lineRule="auto"/>
        <w:ind w:left="720" w:hanging="720"/>
        <w:jc w:val="both"/>
        <w:rPr>
          <w:rFonts w:ascii="David" w:hAnsi="David"/>
          <w:noProof w:val="0"/>
          <w:rtl/>
        </w:rPr>
      </w:pPr>
      <w:r>
        <w:rPr>
          <w:rFonts w:ascii="David" w:hAnsi="David"/>
          <w:noProof w:val="0"/>
          <w:rtl/>
        </w:rPr>
        <w:t>24.</w:t>
      </w:r>
      <w:r>
        <w:rPr>
          <w:rFonts w:ascii="David" w:hAnsi="David"/>
          <w:noProof w:val="0"/>
          <w:rtl/>
        </w:rPr>
        <w:tab/>
      </w:r>
      <w:r>
        <w:rPr>
          <w:rFonts w:ascii="Arial" w:hAnsi="Arial"/>
          <w:b/>
          <w:bCs/>
          <w:rtl/>
        </w:rPr>
        <w:t>בנסיבות המקרה הנדון לא מצאתי כי בהחלטת בית משפט קמא, במסגרתה נקבע כי החלטה בבקשה למזונות זמניים תינתן לאחר שמיעת הוכחות</w:t>
      </w:r>
      <w:r w:rsidR="00794F47">
        <w:rPr>
          <w:rFonts w:ascii="Arial" w:hAnsi="Arial" w:hint="cs"/>
          <w:b/>
          <w:bCs/>
          <w:rtl/>
        </w:rPr>
        <w:t xml:space="preserve"> במועד קרוב</w:t>
      </w:r>
      <w:r>
        <w:rPr>
          <w:rFonts w:ascii="Arial" w:hAnsi="Arial"/>
          <w:b/>
          <w:bCs/>
          <w:rtl/>
        </w:rPr>
        <w:t>, יש טעות המחייבת כבר בשלב זה את התערבות ערכאת הערעור.</w:t>
      </w:r>
    </w:p>
    <w:p w:rsidR="004932F5" w:rsidRPr="004932F5" w:rsidRDefault="004932F5" w:rsidP="004932F5">
      <w:pPr>
        <w:spacing w:after="120" w:line="360" w:lineRule="auto"/>
        <w:ind w:left="720" w:hanging="720"/>
        <w:jc w:val="both"/>
        <w:rPr>
          <w:rFonts w:ascii="David" w:hAnsi="David"/>
          <w:noProof w:val="0"/>
          <w:rtl/>
        </w:rPr>
      </w:pPr>
      <w:r>
        <w:rPr>
          <w:rFonts w:ascii="David" w:hAnsi="David"/>
          <w:noProof w:val="0"/>
          <w:rtl/>
        </w:rPr>
        <w:tab/>
      </w:r>
      <w:r>
        <w:rPr>
          <w:rFonts w:ascii="David" w:hAnsi="David" w:hint="cs"/>
          <w:noProof w:val="0"/>
          <w:rtl/>
        </w:rPr>
        <w:t>יושם אל לב, כי בית משפט קמא התרשם כבר בהחלטתו מיום 16.5.23, כי "....</w:t>
      </w:r>
      <w:r>
        <w:rPr>
          <w:rFonts w:ascii="Arial" w:hAnsi="Arial"/>
          <w:b/>
          <w:bCs/>
          <w:noProof w:val="0"/>
          <w:rtl/>
        </w:rPr>
        <w:t>טענות המבקש בדבר שינוי הנסיבות שחל בהשתכרותה ומצבה הכלכלי של המשיבה, טעונות הוכחה ותתבררנה במהלך ההליכים המשפטיים. לא ניתן להכריע בהן בשלב זה, טרם התקיים דיון ענייני ומעמיק</w:t>
      </w:r>
      <w:r w:rsidRPr="004932F5">
        <w:rPr>
          <w:rFonts w:ascii="Arial" w:hAnsi="Arial" w:hint="cs"/>
          <w:noProof w:val="0"/>
          <w:rtl/>
        </w:rPr>
        <w:t>"</w:t>
      </w:r>
      <w:r w:rsidRPr="004932F5">
        <w:rPr>
          <w:rFonts w:ascii="Arial" w:hAnsi="Arial"/>
          <w:noProof w:val="0"/>
          <w:rtl/>
        </w:rPr>
        <w:t xml:space="preserve">. </w:t>
      </w:r>
    </w:p>
    <w:p w:rsidR="004932F5" w:rsidRDefault="00234CCD" w:rsidP="004932F5">
      <w:pPr>
        <w:spacing w:after="120" w:line="360" w:lineRule="auto"/>
        <w:ind w:left="720" w:hanging="720"/>
        <w:jc w:val="both"/>
        <w:rPr>
          <w:rFonts w:ascii="David" w:hAnsi="David"/>
          <w:noProof w:val="0"/>
          <w:color w:val="000000"/>
          <w:rtl/>
        </w:rPr>
      </w:pPr>
      <w:r>
        <w:rPr>
          <w:rFonts w:ascii="David" w:hAnsi="David"/>
          <w:noProof w:val="0"/>
          <w:rtl/>
        </w:rPr>
        <w:tab/>
      </w:r>
      <w:r w:rsidR="004932F5">
        <w:rPr>
          <w:rFonts w:ascii="David" w:hAnsi="David" w:hint="cs"/>
          <w:noProof w:val="0"/>
          <w:rtl/>
        </w:rPr>
        <w:t>אף בהחלטה קמא שניתנה כחודשיים לאחר ההחלטה הנ"ל,</w:t>
      </w:r>
      <w:r>
        <w:rPr>
          <w:rFonts w:ascii="David" w:hAnsi="David"/>
          <w:noProof w:val="0"/>
          <w:rtl/>
        </w:rPr>
        <w:t xml:space="preserve"> התרשם בית המשפט מטיעוני הצדדים וקבע כי לצורך המשך בירור הבקשה קמא יש </w:t>
      </w:r>
      <w:r>
        <w:rPr>
          <w:rtl/>
        </w:rPr>
        <w:t>"</w:t>
      </w:r>
      <w:r>
        <w:rPr>
          <w:b/>
          <w:bCs/>
          <w:rtl/>
        </w:rPr>
        <w:t>לברר את מצבת הנכסים והמצב הכלכלי של כל אחד מהצדדים לעומק, לקבל השלמת הנתונים הנדרשים לצורך כך</w:t>
      </w:r>
      <w:r>
        <w:rPr>
          <w:rtl/>
        </w:rPr>
        <w:t xml:space="preserve">". </w:t>
      </w:r>
    </w:p>
    <w:p w:rsidR="00234CCD" w:rsidRDefault="00607F66" w:rsidP="00CA4E35">
      <w:pPr>
        <w:spacing w:after="120" w:line="360" w:lineRule="auto"/>
        <w:ind w:left="720" w:hanging="720"/>
        <w:jc w:val="both"/>
        <w:rPr>
          <w:rFonts w:ascii="David" w:hAnsi="David"/>
          <w:noProof w:val="0"/>
          <w:color w:val="000000"/>
          <w:rtl/>
        </w:rPr>
      </w:pPr>
      <w:r>
        <w:rPr>
          <w:rFonts w:ascii="David" w:hAnsi="David"/>
          <w:noProof w:val="0"/>
          <w:color w:val="000000"/>
          <w:rtl/>
        </w:rPr>
        <w:tab/>
      </w:r>
      <w:r>
        <w:rPr>
          <w:rFonts w:ascii="David" w:hAnsi="David" w:hint="cs"/>
          <w:noProof w:val="0"/>
          <w:color w:val="000000"/>
          <w:rtl/>
        </w:rPr>
        <w:t xml:space="preserve">פעמיים נדרש בית משפט קמא והבהיר </w:t>
      </w:r>
      <w:r w:rsidR="00CA4E35" w:rsidRPr="00CA4E35">
        <w:rPr>
          <w:rFonts w:ascii="David" w:hAnsi="David" w:hint="cs"/>
          <w:noProof w:val="0"/>
          <w:color w:val="000000"/>
          <w:u w:val="single"/>
          <w:rtl/>
        </w:rPr>
        <w:t>לאחר התרשמותו מטענות הצדדים</w:t>
      </w:r>
      <w:r w:rsidR="00CA4E35">
        <w:rPr>
          <w:rFonts w:ascii="David" w:hAnsi="David" w:hint="cs"/>
          <w:noProof w:val="0"/>
          <w:color w:val="000000"/>
          <w:rtl/>
        </w:rPr>
        <w:t xml:space="preserve">, כי </w:t>
      </w:r>
      <w:r>
        <w:rPr>
          <w:rFonts w:ascii="David" w:hAnsi="David" w:hint="cs"/>
          <w:noProof w:val="0"/>
          <w:color w:val="000000"/>
          <w:rtl/>
        </w:rPr>
        <w:t xml:space="preserve">החלטתו בבקשה קמא תינתן אך לאחר שמיעת הוכחות (ההחלטה הראשונה אף אושררה ברמ"ש 47195-05-23 כמצוין בסעיף </w:t>
      </w:r>
      <w:r>
        <w:rPr>
          <w:rFonts w:ascii="David" w:hAnsi="David" w:hint="cs"/>
          <w:noProof w:val="0"/>
          <w:color w:val="000000"/>
          <w:rtl/>
        </w:rPr>
        <w:lastRenderedPageBreak/>
        <w:t>13 לעיל)</w:t>
      </w:r>
      <w:r w:rsidR="00AB3024">
        <w:rPr>
          <w:rFonts w:ascii="David" w:hAnsi="David" w:hint="cs"/>
          <w:noProof w:val="0"/>
          <w:color w:val="000000"/>
          <w:rtl/>
        </w:rPr>
        <w:t xml:space="preserve">; </w:t>
      </w:r>
      <w:r>
        <w:rPr>
          <w:rFonts w:ascii="David" w:hAnsi="David" w:hint="cs"/>
          <w:noProof w:val="0"/>
          <w:color w:val="000000"/>
          <w:rtl/>
        </w:rPr>
        <w:t>סבורני כי טוב יעשה המבקש לו ימתין לבירור עובדתי של טענותיו</w:t>
      </w:r>
      <w:r w:rsidR="008429FD">
        <w:rPr>
          <w:rFonts w:ascii="David" w:hAnsi="David" w:hint="cs"/>
          <w:noProof w:val="0"/>
          <w:color w:val="000000"/>
          <w:rtl/>
        </w:rPr>
        <w:t xml:space="preserve"> ושל טענות המשיבה. </w:t>
      </w:r>
      <w:r w:rsidR="00234CCD" w:rsidRPr="006665BB">
        <w:rPr>
          <w:rFonts w:ascii="David" w:hAnsi="David"/>
          <w:b/>
          <w:bCs/>
          <w:noProof w:val="0"/>
          <w:color w:val="000000"/>
          <w:rtl/>
        </w:rPr>
        <w:t>אף אנוכי התרשמתי כי נכונה הדרך בה נקט בית משפט קמא, עת העדיף לברר את בקשת המבקש קמא לעומקו של עניין ולהכריע בבקשה רק לאחר שמיעת הוכחות</w:t>
      </w:r>
      <w:r w:rsidR="006665BB">
        <w:rPr>
          <w:rFonts w:ascii="David" w:hAnsi="David" w:hint="cs"/>
          <w:noProof w:val="0"/>
          <w:color w:val="000000"/>
          <w:rtl/>
        </w:rPr>
        <w:t>, שהרי אחרת יוכל לטעון מי מהצדדים לקיפוח זכויו</w:t>
      </w:r>
      <w:r w:rsidR="00CA4E35">
        <w:rPr>
          <w:rFonts w:ascii="David" w:hAnsi="David" w:hint="cs"/>
          <w:noProof w:val="0"/>
          <w:color w:val="000000"/>
          <w:rtl/>
        </w:rPr>
        <w:t>תיו הדיוניות, לנוכח קביעת בית משפט קמא בצורך בשמיעת הוכחות, וזאת ראוי</w:t>
      </w:r>
      <w:r w:rsidR="006665BB">
        <w:rPr>
          <w:rFonts w:ascii="David" w:hAnsi="David" w:hint="cs"/>
          <w:noProof w:val="0"/>
          <w:color w:val="000000"/>
          <w:rtl/>
        </w:rPr>
        <w:t xml:space="preserve"> למנוע.</w:t>
      </w:r>
    </w:p>
    <w:p w:rsidR="00234CCD" w:rsidRDefault="00234CCD" w:rsidP="00B9319F">
      <w:pPr>
        <w:spacing w:after="120" w:line="360" w:lineRule="auto"/>
        <w:ind w:left="720" w:hanging="720"/>
        <w:jc w:val="both"/>
        <w:rPr>
          <w:rFonts w:ascii="David" w:hAnsi="David"/>
          <w:b/>
          <w:bCs/>
          <w:noProof w:val="0"/>
          <w:rtl/>
        </w:rPr>
      </w:pPr>
      <w:r>
        <w:rPr>
          <w:rFonts w:ascii="David" w:hAnsi="David"/>
          <w:b/>
          <w:bCs/>
          <w:noProof w:val="0"/>
          <w:color w:val="000000"/>
          <w:rtl/>
        </w:rPr>
        <w:tab/>
        <w:t>במצב דברים זה לא מצאתי כי נגרם למבקש עיוות דין כתוצאה מקבלת ההחלטה קמא.</w:t>
      </w:r>
    </w:p>
    <w:p w:rsidR="00234CCD" w:rsidRDefault="00234CCD" w:rsidP="00B9319F">
      <w:pPr>
        <w:spacing w:after="120" w:line="360" w:lineRule="auto"/>
        <w:ind w:left="720" w:hanging="720"/>
        <w:jc w:val="both"/>
        <w:rPr>
          <w:rFonts w:ascii="David" w:hAnsi="David"/>
          <w:noProof w:val="0"/>
          <w:rtl/>
        </w:rPr>
      </w:pPr>
      <w:r>
        <w:rPr>
          <w:rFonts w:ascii="David" w:hAnsi="David"/>
          <w:noProof w:val="0"/>
          <w:rtl/>
        </w:rPr>
        <w:t>25.</w:t>
      </w:r>
      <w:r>
        <w:rPr>
          <w:rFonts w:ascii="David" w:hAnsi="David"/>
          <w:noProof w:val="0"/>
          <w:rtl/>
        </w:rPr>
        <w:tab/>
        <w:t xml:space="preserve">ודוק – מועד ההוכחות נקבע ליום 30.11.2023, היינו מועד קרוב יחסית; בית משפט קמא אף ציין בהחלטה קמא, ברחל בתך הקטנה, את מועד הדיון הקרוב, וכן כי החלטתו תינתן בסמוך לאחר שמיעת הצדדים בדיון. אף מטעם זה סבורני כי אין להתערב בהחלטה קמא. </w:t>
      </w:r>
    </w:p>
    <w:p w:rsidR="00234CCD" w:rsidRDefault="00234CCD" w:rsidP="00B9319F">
      <w:pPr>
        <w:spacing w:after="120" w:line="360" w:lineRule="auto"/>
        <w:jc w:val="both"/>
        <w:rPr>
          <w:rFonts w:ascii="David" w:hAnsi="David"/>
          <w:noProof w:val="0"/>
          <w:rtl/>
        </w:rPr>
      </w:pPr>
      <w:r>
        <w:rPr>
          <w:rFonts w:ascii="David" w:hAnsi="David"/>
          <w:noProof w:val="0"/>
          <w:rtl/>
        </w:rPr>
        <w:tab/>
      </w:r>
      <w:r>
        <w:rPr>
          <w:rFonts w:ascii="David" w:hAnsi="David"/>
          <w:noProof w:val="0"/>
          <w:u w:val="single"/>
          <w:rtl/>
        </w:rPr>
        <w:t>ראו למשל לעניין חשיבות קיום דיון ב</w:t>
      </w:r>
      <w:r w:rsidR="00794F47">
        <w:rPr>
          <w:rFonts w:ascii="David" w:hAnsi="David" w:hint="cs"/>
          <w:noProof w:val="0"/>
          <w:u w:val="single"/>
          <w:rtl/>
        </w:rPr>
        <w:t xml:space="preserve">מועד </w:t>
      </w:r>
      <w:r>
        <w:rPr>
          <w:rFonts w:ascii="David" w:hAnsi="David"/>
          <w:noProof w:val="0"/>
          <w:u w:val="single"/>
          <w:rtl/>
        </w:rPr>
        <w:t>קרוב בסוגיות כגון מזונות זמניים</w:t>
      </w:r>
      <w:r>
        <w:rPr>
          <w:rFonts w:ascii="David" w:hAnsi="David"/>
          <w:noProof w:val="0"/>
          <w:rtl/>
        </w:rPr>
        <w:t xml:space="preserve">: </w:t>
      </w:r>
    </w:p>
    <w:p w:rsidR="00234CCD" w:rsidRDefault="00234CCD" w:rsidP="00B9319F">
      <w:pPr>
        <w:spacing w:after="120" w:line="360" w:lineRule="auto"/>
        <w:jc w:val="both"/>
        <w:rPr>
          <w:rFonts w:ascii="David" w:hAnsi="David"/>
          <w:noProof w:val="0"/>
          <w:rtl/>
        </w:rPr>
      </w:pPr>
      <w:r>
        <w:rPr>
          <w:rFonts w:ascii="David" w:hAnsi="David"/>
          <w:noProof w:val="0"/>
          <w:rtl/>
        </w:rPr>
        <w:tab/>
        <w:t xml:space="preserve">רמ"ש 51758-11-22 </w:t>
      </w:r>
      <w:r w:rsidRPr="00672097">
        <w:rPr>
          <w:rFonts w:ascii="David" w:hAnsi="David"/>
          <w:b/>
          <w:bCs/>
          <w:noProof w:val="0"/>
          <w:rtl/>
        </w:rPr>
        <w:t>ס' נ' ס'</w:t>
      </w:r>
      <w:r>
        <w:rPr>
          <w:rFonts w:ascii="David" w:hAnsi="David"/>
          <w:noProof w:val="0"/>
          <w:rtl/>
        </w:rPr>
        <w:t xml:space="preserve"> (24.11.2022).</w:t>
      </w:r>
    </w:p>
    <w:p w:rsidR="00234CCD" w:rsidRDefault="00234CCD" w:rsidP="00B9319F">
      <w:pPr>
        <w:spacing w:after="120" w:line="360" w:lineRule="auto"/>
        <w:ind w:left="720" w:hanging="720"/>
        <w:jc w:val="both"/>
        <w:rPr>
          <w:rFonts w:ascii="Arial" w:hAnsi="Arial"/>
          <w:rtl/>
        </w:rPr>
      </w:pPr>
      <w:r>
        <w:rPr>
          <w:rFonts w:ascii="David" w:hAnsi="David"/>
          <w:noProof w:val="0"/>
          <w:rtl/>
        </w:rPr>
        <w:t>26.</w:t>
      </w:r>
      <w:r>
        <w:rPr>
          <w:rFonts w:ascii="David" w:hAnsi="David"/>
          <w:noProof w:val="0"/>
          <w:rtl/>
        </w:rPr>
        <w:tab/>
      </w:r>
      <w:r>
        <w:rPr>
          <w:rFonts w:ascii="David" w:hAnsi="David"/>
          <w:b/>
          <w:bCs/>
          <w:noProof w:val="0"/>
          <w:rtl/>
        </w:rPr>
        <w:t xml:space="preserve">לאור האמור לעיל, ניכר כי השופטת קמא שקלה שיקולים רלוונטיים במתן החלטתה קמא, תוך ראיית התמונה הרחבה, ככל האפשר בנסיבות התיק קמא והצדדים. </w:t>
      </w:r>
      <w:r>
        <w:rPr>
          <w:rFonts w:ascii="David" w:hAnsi="David"/>
          <w:noProof w:val="0"/>
          <w:rtl/>
        </w:rPr>
        <w:t xml:space="preserve">כאמור לעיל, החלטת מזונות זמניים היא כספית במהותה, וככזו היא הפיכה. </w:t>
      </w:r>
      <w:r>
        <w:rPr>
          <w:rFonts w:ascii="Arial" w:hAnsi="Arial"/>
          <w:rtl/>
        </w:rPr>
        <w:t>ככל שייקבע במהלך הישיבות הקרובות, או לאחר שמיעת ראיות, כי על המשיבה לשאת במזונות הזמניים כפי שמבקש המבקש, ניתן יהיה לתקן זאת על ידי שינוי הסכומים לעבר לעתיד.</w:t>
      </w:r>
    </w:p>
    <w:p w:rsidR="00234CCD" w:rsidRDefault="00234CCD" w:rsidP="00B9319F">
      <w:pPr>
        <w:spacing w:after="120" w:line="360" w:lineRule="auto"/>
        <w:jc w:val="both"/>
        <w:rPr>
          <w:rFonts w:ascii="David" w:hAnsi="David"/>
          <w:b/>
          <w:bCs/>
          <w:u w:val="single"/>
          <w:rtl/>
        </w:rPr>
      </w:pPr>
    </w:p>
    <w:p w:rsidR="00234CCD" w:rsidRDefault="00234CCD" w:rsidP="00B9319F">
      <w:pPr>
        <w:spacing w:after="120" w:line="360" w:lineRule="auto"/>
        <w:jc w:val="both"/>
        <w:rPr>
          <w:rFonts w:ascii="David" w:hAnsi="David"/>
          <w:b/>
          <w:bCs/>
          <w:u w:val="single"/>
          <w:rtl/>
        </w:rPr>
      </w:pPr>
      <w:r>
        <w:rPr>
          <w:rFonts w:ascii="David" w:hAnsi="David"/>
          <w:b/>
          <w:bCs/>
          <w:u w:val="single"/>
          <w:rtl/>
        </w:rPr>
        <w:t>סוף דבר</w:t>
      </w:r>
    </w:p>
    <w:p w:rsidR="00234CCD" w:rsidRDefault="00234CCD" w:rsidP="00B9319F">
      <w:pPr>
        <w:spacing w:after="120" w:line="360" w:lineRule="auto"/>
        <w:ind w:left="720" w:hanging="720"/>
        <w:jc w:val="both"/>
        <w:rPr>
          <w:rFonts w:ascii="David" w:hAnsi="David"/>
          <w:b/>
          <w:bCs/>
          <w:rtl/>
        </w:rPr>
      </w:pPr>
      <w:r>
        <w:rPr>
          <w:rFonts w:ascii="David" w:hAnsi="David"/>
          <w:rtl/>
        </w:rPr>
        <w:t>27.</w:t>
      </w:r>
      <w:r>
        <w:rPr>
          <w:rFonts w:ascii="David" w:hAnsi="David"/>
          <w:rtl/>
        </w:rPr>
        <w:tab/>
      </w:r>
      <w:r>
        <w:rPr>
          <w:rFonts w:ascii="David" w:hAnsi="David"/>
          <w:b/>
          <w:bCs/>
          <w:rtl/>
        </w:rPr>
        <w:t>לאור כל האמור לעיל אני מורה על דחיית בקשת רשות הערעור.</w:t>
      </w:r>
    </w:p>
    <w:p w:rsidR="00234CCD" w:rsidRDefault="00234CCD" w:rsidP="005629CA">
      <w:pPr>
        <w:spacing w:after="120" w:line="360" w:lineRule="auto"/>
        <w:jc w:val="both"/>
        <w:rPr>
          <w:rFonts w:ascii="David" w:hAnsi="David"/>
          <w:rtl/>
        </w:rPr>
      </w:pPr>
      <w:r>
        <w:rPr>
          <w:rFonts w:ascii="David" w:hAnsi="David"/>
          <w:rtl/>
        </w:rPr>
        <w:t>28.</w:t>
      </w:r>
      <w:r>
        <w:rPr>
          <w:rFonts w:ascii="David" w:hAnsi="David"/>
          <w:rtl/>
        </w:rPr>
        <w:tab/>
        <w:t>משלא נתבקשה תשובה – אין צו להוצאות.</w:t>
      </w:r>
    </w:p>
    <w:p w:rsidR="00614FFC" w:rsidRDefault="00614FFC" w:rsidP="005629CA">
      <w:pPr>
        <w:spacing w:after="120" w:line="360" w:lineRule="auto"/>
        <w:jc w:val="both"/>
        <w:rPr>
          <w:rFonts w:ascii="David" w:hAnsi="David"/>
          <w:b/>
          <w:bCs/>
          <w:rtl/>
        </w:rPr>
      </w:pPr>
    </w:p>
    <w:p w:rsidR="00B9319F" w:rsidRDefault="00234CCD" w:rsidP="005629CA">
      <w:pPr>
        <w:spacing w:after="120" w:line="360" w:lineRule="auto"/>
        <w:jc w:val="both"/>
        <w:rPr>
          <w:rFonts w:ascii="David" w:hAnsi="David"/>
          <w:b/>
          <w:bCs/>
          <w:rtl/>
        </w:rPr>
      </w:pPr>
      <w:r>
        <w:rPr>
          <w:rFonts w:ascii="David" w:hAnsi="David"/>
          <w:b/>
          <w:bCs/>
          <w:rtl/>
        </w:rPr>
        <w:t>המזכירות תשלח החלטה זו לצדדים.</w:t>
      </w:r>
    </w:p>
    <w:p w:rsidR="00694556" w:rsidRDefault="00234CCD" w:rsidP="005629CA">
      <w:pPr>
        <w:spacing w:after="120" w:line="360" w:lineRule="auto"/>
        <w:jc w:val="both"/>
        <w:rPr>
          <w:rFonts w:ascii="Arial" w:hAnsi="Arial"/>
          <w:noProof w:val="0"/>
          <w:rtl/>
        </w:rPr>
      </w:pPr>
      <w:r>
        <w:rPr>
          <w:rFonts w:ascii="David" w:hAnsi="David"/>
          <w:b/>
          <w:bCs/>
          <w:rtl/>
        </w:rPr>
        <w:t>החלטה זו מותרת לפרסום תוך השמטת שמות הצדדים וכל פרט מזהה אחר.</w:t>
      </w:r>
      <w:r>
        <w:rPr>
          <w:rtl/>
        </w:rPr>
        <w:t xml:space="preserve">     </w:t>
      </w:r>
    </w:p>
    <w:p w:rsidR="005629CA" w:rsidRPr="00B95D6E" w:rsidRDefault="005629CA" w:rsidP="005629CA">
      <w:pPr>
        <w:spacing w:after="120"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אוגוסט 2023</w:t>
          </w:r>
        </w:sdtContent>
      </w:sdt>
      <w:r w:rsidR="00005C8B">
        <w:rPr>
          <w:rFonts w:ascii="Arial" w:hAnsi="Arial"/>
          <w:noProof w:val="0"/>
          <w:rtl/>
        </w:rPr>
        <w:t>, בהעדר הצדדים.</w:t>
      </w:r>
    </w:p>
    <w:p w:rsidR="00C43648" w:rsidRDefault="008F770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5629CA">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98719169"/>
        </w:sdtPr>
        <w:sdtEndPr/>
        <w:sdtContent>
          <w:r w:rsidR="002653D4">
            <w:drawing>
              <wp:inline distT="0" distB="0" distL="0" distR="0" wp14:editId="50D07946">
                <wp:extent cx="1483744" cy="1085065"/>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487294" cy="1087661"/>
                        </a:xfrm>
                        <a:prstGeom prst="rect">
                          <a:avLst/>
                        </a:prstGeom>
                      </pic:spPr>
                    </pic:pic>
                  </a:graphicData>
                </a:graphic>
              </wp:inline>
            </w:drawing>
          </w:r>
        </w:sdtContent>
      </w:sdt>
    </w:p>
    <w:sectPr w:rsidR="00694556" w:rsidSect="00234CCD">
      <w:headerReference w:type="even" r:id="rId8"/>
      <w:headerReference w:type="default" r:id="rId9"/>
      <w:footerReference w:type="even" r:id="rId10"/>
      <w:footerReference w:type="default" r:id="rId11"/>
      <w:headerReference w:type="first" r:id="rId12"/>
      <w:footerReference w:type="first" r:id="rId13"/>
      <w:pgSz w:w="11907" w:h="16840" w:code="9"/>
      <w:pgMar w:top="1440" w:right="1275"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A26" w:rsidRDefault="00B36A26">
      <w:r>
        <w:separator/>
      </w:r>
    </w:p>
  </w:endnote>
  <w:endnote w:type="continuationSeparator" w:id="0">
    <w:p w:rsidR="00B36A26" w:rsidRDefault="00B3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996" w:rsidRDefault="00B4599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770C">
      <w:rPr>
        <w:rStyle w:val="ab"/>
        <w:rFonts w:cs="Times New Roman"/>
        <w:rtl/>
      </w:rPr>
      <w:t>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770C">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996" w:rsidRDefault="00B459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A26" w:rsidRDefault="00B36A26">
      <w:r>
        <w:separator/>
      </w:r>
    </w:p>
  </w:footnote>
  <w:footnote w:type="continuationSeparator" w:id="0">
    <w:p w:rsidR="00B36A26" w:rsidRDefault="00B36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996" w:rsidRDefault="00B459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F770C" w:rsidP="00C031F3">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71002-07-23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C031F3">
                <w:rPr>
                  <w:rFonts w:hint="cs"/>
                  <w:b/>
                  <w:bCs/>
                  <w:noProof w:val="0"/>
                  <w:sz w:val="26"/>
                  <w:szCs w:val="26"/>
                  <w:rtl/>
                </w:rPr>
                <w:t>ס'</w:t>
              </w:r>
              <w:r w:rsidR="00C031F3">
                <w:rPr>
                  <w:b/>
                  <w:bCs/>
                  <w:noProof w:val="0"/>
                  <w:sz w:val="26"/>
                  <w:szCs w:val="26"/>
                  <w:rtl/>
                </w:rPr>
                <w:t xml:space="preserve"> נ' </w:t>
              </w:r>
              <w:r w:rsidR="00C031F3">
                <w:rPr>
                  <w:rFonts w:hint="cs"/>
                  <w:b/>
                  <w:bCs/>
                  <w:noProof w:val="0"/>
                  <w:sz w:val="26"/>
                  <w:szCs w:val="26"/>
                  <w:rtl/>
                </w:rPr>
                <w:t>ס'</w:t>
              </w:r>
            </w:sdtContent>
          </w:sdt>
          <w:r w:rsidR="00CD516B">
            <w:rPr>
              <w:b/>
              <w:bCs/>
              <w:noProof w:val="0"/>
              <w:sz w:val="26"/>
              <w:szCs w:val="26"/>
              <w:rtl/>
            </w:rPr>
            <w:t xml:space="preserve"> </w:t>
          </w: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996" w:rsidRDefault="00B4599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0F56F6"/>
    <w:rsid w:val="00107E6D"/>
    <w:rsid w:val="0011194C"/>
    <w:rsid w:val="0011424C"/>
    <w:rsid w:val="001173C6"/>
    <w:rsid w:val="001367BC"/>
    <w:rsid w:val="00144D2A"/>
    <w:rsid w:val="0014653E"/>
    <w:rsid w:val="00171346"/>
    <w:rsid w:val="00180519"/>
    <w:rsid w:val="00191C82"/>
    <w:rsid w:val="001C4003"/>
    <w:rsid w:val="001D4DBF"/>
    <w:rsid w:val="001E6803"/>
    <w:rsid w:val="001E75CA"/>
    <w:rsid w:val="002265FF"/>
    <w:rsid w:val="00234CCD"/>
    <w:rsid w:val="00235B97"/>
    <w:rsid w:val="002653D4"/>
    <w:rsid w:val="00271B56"/>
    <w:rsid w:val="002931DA"/>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7CD4"/>
    <w:rsid w:val="003A4521"/>
    <w:rsid w:val="003B3E8D"/>
    <w:rsid w:val="003D1C8C"/>
    <w:rsid w:val="0040096C"/>
    <w:rsid w:val="00414F1F"/>
    <w:rsid w:val="0043125D"/>
    <w:rsid w:val="0043502B"/>
    <w:rsid w:val="004443AC"/>
    <w:rsid w:val="00444B02"/>
    <w:rsid w:val="00451E28"/>
    <w:rsid w:val="00462C62"/>
    <w:rsid w:val="00465D36"/>
    <w:rsid w:val="004932F5"/>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629CA"/>
    <w:rsid w:val="005B2FF9"/>
    <w:rsid w:val="005C0627"/>
    <w:rsid w:val="005F3DC2"/>
    <w:rsid w:val="005F4F09"/>
    <w:rsid w:val="00607F66"/>
    <w:rsid w:val="0061431B"/>
    <w:rsid w:val="00614FFC"/>
    <w:rsid w:val="00622BAA"/>
    <w:rsid w:val="006306CF"/>
    <w:rsid w:val="006318D8"/>
    <w:rsid w:val="00644E9A"/>
    <w:rsid w:val="006570F5"/>
    <w:rsid w:val="006665BB"/>
    <w:rsid w:val="00671BD5"/>
    <w:rsid w:val="00672097"/>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4F47"/>
    <w:rsid w:val="00795365"/>
    <w:rsid w:val="007A351D"/>
    <w:rsid w:val="007B7765"/>
    <w:rsid w:val="007C2F8A"/>
    <w:rsid w:val="007C5BDD"/>
    <w:rsid w:val="007D45E3"/>
    <w:rsid w:val="007E6115"/>
    <w:rsid w:val="007F4609"/>
    <w:rsid w:val="00814468"/>
    <w:rsid w:val="008176A1"/>
    <w:rsid w:val="00820005"/>
    <w:rsid w:val="00826861"/>
    <w:rsid w:val="00841158"/>
    <w:rsid w:val="008429FD"/>
    <w:rsid w:val="00844318"/>
    <w:rsid w:val="00851257"/>
    <w:rsid w:val="00863F5D"/>
    <w:rsid w:val="00870890"/>
    <w:rsid w:val="00873602"/>
    <w:rsid w:val="00875D12"/>
    <w:rsid w:val="0088479D"/>
    <w:rsid w:val="00891F42"/>
    <w:rsid w:val="00896889"/>
    <w:rsid w:val="008A59EE"/>
    <w:rsid w:val="008A6E97"/>
    <w:rsid w:val="008C5714"/>
    <w:rsid w:val="008D10B2"/>
    <w:rsid w:val="008F770C"/>
    <w:rsid w:val="00903896"/>
    <w:rsid w:val="00906F3D"/>
    <w:rsid w:val="0094424E"/>
    <w:rsid w:val="00955642"/>
    <w:rsid w:val="009622DF"/>
    <w:rsid w:val="0096493F"/>
    <w:rsid w:val="009654CD"/>
    <w:rsid w:val="00967DFF"/>
    <w:rsid w:val="00994341"/>
    <w:rsid w:val="009D1A48"/>
    <w:rsid w:val="009E1CE7"/>
    <w:rsid w:val="009E4EA5"/>
    <w:rsid w:val="009F164B"/>
    <w:rsid w:val="009F323C"/>
    <w:rsid w:val="00A331BB"/>
    <w:rsid w:val="00A3392B"/>
    <w:rsid w:val="00A4420F"/>
    <w:rsid w:val="00A81988"/>
    <w:rsid w:val="00A85E34"/>
    <w:rsid w:val="00A87DF6"/>
    <w:rsid w:val="00A9144F"/>
    <w:rsid w:val="00A94B64"/>
    <w:rsid w:val="00A97242"/>
    <w:rsid w:val="00AA3229"/>
    <w:rsid w:val="00AA7596"/>
    <w:rsid w:val="00AB3024"/>
    <w:rsid w:val="00AB5E52"/>
    <w:rsid w:val="00AC3B02"/>
    <w:rsid w:val="00AC3B7B"/>
    <w:rsid w:val="00AC5209"/>
    <w:rsid w:val="00AE0E34"/>
    <w:rsid w:val="00AE729E"/>
    <w:rsid w:val="00AE7752"/>
    <w:rsid w:val="00AF7FDA"/>
    <w:rsid w:val="00B36A26"/>
    <w:rsid w:val="00B45996"/>
    <w:rsid w:val="00B5356E"/>
    <w:rsid w:val="00B62AD7"/>
    <w:rsid w:val="00B66717"/>
    <w:rsid w:val="00B809AD"/>
    <w:rsid w:val="00B80CBD"/>
    <w:rsid w:val="00B86096"/>
    <w:rsid w:val="00B9319F"/>
    <w:rsid w:val="00B95D6E"/>
    <w:rsid w:val="00B964D9"/>
    <w:rsid w:val="00BA0A7C"/>
    <w:rsid w:val="00BA517C"/>
    <w:rsid w:val="00BB3D05"/>
    <w:rsid w:val="00BB73BE"/>
    <w:rsid w:val="00BC2D89"/>
    <w:rsid w:val="00BD25BE"/>
    <w:rsid w:val="00BD6531"/>
    <w:rsid w:val="00BD732D"/>
    <w:rsid w:val="00BE05B2"/>
    <w:rsid w:val="00BF1908"/>
    <w:rsid w:val="00C031F3"/>
    <w:rsid w:val="00C22D93"/>
    <w:rsid w:val="00C23458"/>
    <w:rsid w:val="00C31120"/>
    <w:rsid w:val="00C34482"/>
    <w:rsid w:val="00C43648"/>
    <w:rsid w:val="00C50A9F"/>
    <w:rsid w:val="00C642FA"/>
    <w:rsid w:val="00CA4E35"/>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DF4802"/>
    <w:rsid w:val="00E1068A"/>
    <w:rsid w:val="00E25884"/>
    <w:rsid w:val="00E25B55"/>
    <w:rsid w:val="00E31C2B"/>
    <w:rsid w:val="00E5426A"/>
    <w:rsid w:val="00E54642"/>
    <w:rsid w:val="00E80CBE"/>
    <w:rsid w:val="00E9269D"/>
    <w:rsid w:val="00E962E3"/>
    <w:rsid w:val="00EB6C79"/>
    <w:rsid w:val="00EC37E9"/>
    <w:rsid w:val="00F038D8"/>
    <w:rsid w:val="00F05DA6"/>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7170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57276" w:rsidP="00B57276">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05A64B6F7E274087B02E0A2473012691"/>
        <w:category>
          <w:name w:val="כללי"/>
          <w:gallery w:val="placeholder"/>
        </w:category>
        <w:types>
          <w:type w:val="bbPlcHdr"/>
        </w:types>
        <w:behaviors>
          <w:behavior w:val="content"/>
        </w:behaviors>
        <w:guid w:val="{0F07919D-C173-437A-8EBA-69491F28999A}"/>
      </w:docPartPr>
      <w:docPartBody>
        <w:p w:rsidR="005A1CC0" w:rsidRDefault="00B57276" w:rsidP="00B57276">
          <w:pPr>
            <w:pStyle w:val="05A64B6F7E274087B02E0A2473012691"/>
          </w:pPr>
          <w:r>
            <w:rPr>
              <w:rFonts w:ascii="Arial" w:hAnsi="Arial"/>
              <w:b/>
              <w:bCs/>
              <w:sz w:val="26"/>
              <w:szCs w:val="26"/>
              <w:rtl/>
            </w:rPr>
            <w:t>שם צד א' ללא שם של חסוי</w:t>
          </w:r>
        </w:p>
      </w:docPartBody>
    </w:docPart>
    <w:docPart>
      <w:docPartPr>
        <w:name w:val="0655F9C6BBB14A69B884B2C6CE91F626"/>
        <w:category>
          <w:name w:val="כללי"/>
          <w:gallery w:val="placeholder"/>
        </w:category>
        <w:types>
          <w:type w:val="bbPlcHdr"/>
        </w:types>
        <w:behaviors>
          <w:behavior w:val="content"/>
        </w:behaviors>
        <w:guid w:val="{222F0454-BE7A-4CCD-82FD-69B07C4C7146}"/>
      </w:docPartPr>
      <w:docPartBody>
        <w:p w:rsidR="005A1CC0" w:rsidRDefault="00B57276" w:rsidP="00B57276">
          <w:pPr>
            <w:pStyle w:val="0655F9C6BBB14A69B884B2C6CE91F626"/>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F5D58"/>
    <w:rsid w:val="00345C9D"/>
    <w:rsid w:val="00395ADB"/>
    <w:rsid w:val="0048651F"/>
    <w:rsid w:val="004B017A"/>
    <w:rsid w:val="005157ED"/>
    <w:rsid w:val="00556D67"/>
    <w:rsid w:val="005A1CC0"/>
    <w:rsid w:val="00673B50"/>
    <w:rsid w:val="00793995"/>
    <w:rsid w:val="007C6F98"/>
    <w:rsid w:val="007E254A"/>
    <w:rsid w:val="008B4366"/>
    <w:rsid w:val="009133C7"/>
    <w:rsid w:val="009178E4"/>
    <w:rsid w:val="00961B27"/>
    <w:rsid w:val="009A36E7"/>
    <w:rsid w:val="00AA7CE3"/>
    <w:rsid w:val="00B50DB2"/>
    <w:rsid w:val="00B57276"/>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5727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B57276"/>
    <w:pPr>
      <w:bidi/>
      <w:spacing w:after="0" w:line="240" w:lineRule="auto"/>
    </w:pPr>
    <w:rPr>
      <w:rFonts w:ascii="Times New Roman" w:eastAsia="Times New Roman" w:hAnsi="Times New Roman" w:cs="David"/>
      <w:noProof/>
      <w:sz w:val="24"/>
      <w:szCs w:val="24"/>
    </w:rPr>
  </w:style>
  <w:style w:type="paragraph" w:customStyle="1" w:styleId="8BF09F97771B4F30930F8224818C20D1">
    <w:name w:val="8BF09F97771B4F30930F8224818C20D1"/>
    <w:rsid w:val="00B57276"/>
    <w:pPr>
      <w:bidi/>
      <w:spacing w:after="160" w:line="259" w:lineRule="auto"/>
    </w:pPr>
  </w:style>
  <w:style w:type="paragraph" w:customStyle="1" w:styleId="003BB3081DE9412393FB51423D36FC9D">
    <w:name w:val="003BB3081DE9412393FB51423D36FC9D"/>
    <w:rsid w:val="00B57276"/>
    <w:pPr>
      <w:bidi/>
      <w:spacing w:after="160" w:line="259" w:lineRule="auto"/>
    </w:pPr>
  </w:style>
  <w:style w:type="paragraph" w:customStyle="1" w:styleId="05A64B6F7E274087B02E0A2473012691">
    <w:name w:val="05A64B6F7E274087B02E0A2473012691"/>
    <w:rsid w:val="00B57276"/>
    <w:pPr>
      <w:bidi/>
      <w:spacing w:after="160" w:line="259" w:lineRule="auto"/>
    </w:pPr>
  </w:style>
  <w:style w:type="paragraph" w:customStyle="1" w:styleId="0655F9C6BBB14A69B884B2C6CE91F626">
    <w:name w:val="0655F9C6BBB14A69B884B2C6CE91F626"/>
    <w:rsid w:val="00B5727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2359</Words>
  <Characters>11797</Characters>
  <Application>Microsoft Office Word</Application>
  <DocSecurity>4</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2023-08-10T09:17:00Z</dcterms:created>
  <dcterms:modified xsi:type="dcterms:W3CDTF">2023-08-10T09:17:00Z</dcterms:modified>
</cp:coreProperties>
</file>